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B199" w14:textId="56E0AE78" w:rsidR="00686AF4" w:rsidRPr="00506C71" w:rsidRDefault="00C40EA7" w:rsidP="00FD6B4A">
      <w:pPr>
        <w:pStyle w:val="Titel"/>
        <w:rPr>
          <w:b w:val="0"/>
          <w:lang w:val="fr-CH"/>
        </w:rPr>
      </w:pPr>
      <w:r w:rsidRPr="00506C71">
        <w:rPr>
          <w:lang w:val="fr-CH"/>
        </w:rPr>
        <w:t>Règlement relatif aux b</w:t>
      </w:r>
      <w:r w:rsidR="00520D26" w:rsidRPr="00506C71">
        <w:rPr>
          <w:lang w:val="fr-CH"/>
        </w:rPr>
        <w:t>ons de garde</w:t>
      </w:r>
    </w:p>
    <w:p w14:paraId="5B1583B0" w14:textId="1B74D9CC" w:rsidR="00686AF4" w:rsidRPr="00EB3359" w:rsidRDefault="00520D26" w:rsidP="00345864">
      <w:pPr>
        <w:spacing w:after="240"/>
        <w:rPr>
          <w:lang w:val="fr-CH"/>
        </w:rPr>
      </w:pPr>
      <w:r w:rsidRPr="00506C71">
        <w:rPr>
          <w:lang w:val="fr-CH"/>
        </w:rPr>
        <w:t>La commune</w:t>
      </w:r>
      <w:r w:rsidR="00A01B5E" w:rsidRPr="00506C71">
        <w:rPr>
          <w:lang w:val="fr-CH"/>
        </w:rPr>
        <w:t xml:space="preserve"> de / </w:t>
      </w:r>
      <w:r w:rsidR="00A01B5E" w:rsidRPr="00413BDA">
        <w:rPr>
          <w:lang w:val="fr-CH"/>
        </w:rPr>
        <w:t>d’</w:t>
      </w:r>
      <w:r w:rsidR="00686AF4" w:rsidRPr="00413BDA">
        <w:rPr>
          <w:lang w:val="fr-CH"/>
        </w:rPr>
        <w:t>………………………</w:t>
      </w:r>
      <w:r w:rsidR="00686AF4" w:rsidRPr="00EB3359">
        <w:rPr>
          <w:lang w:val="fr-CH"/>
        </w:rPr>
        <w:t xml:space="preserve"> </w:t>
      </w:r>
      <w:r w:rsidRPr="00EB3359">
        <w:rPr>
          <w:lang w:val="fr-CH"/>
        </w:rPr>
        <w:t>édicte les dispositions suivantes </w:t>
      </w:r>
      <w:r w:rsidR="00686AF4" w:rsidRPr="00EB3359">
        <w:rPr>
          <w:lang w:val="fr-CH"/>
        </w:rPr>
        <w:t>:</w:t>
      </w: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  <w:tblCaption w:val="Eléments du règlement type"/>
      </w:tblPr>
      <w:tblGrid>
        <w:gridCol w:w="2093"/>
        <w:gridCol w:w="7195"/>
      </w:tblGrid>
      <w:tr w:rsidR="003C7D06" w:rsidRPr="00B8595A" w14:paraId="20484129" w14:textId="77777777" w:rsidTr="005C4236">
        <w:tc>
          <w:tcPr>
            <w:tcW w:w="2093" w:type="dxa"/>
          </w:tcPr>
          <w:p w14:paraId="6369E082" w14:textId="77777777" w:rsidR="003C7D06" w:rsidRPr="00EB3359" w:rsidRDefault="003C7D06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6FD6D8CE" w14:textId="77777777" w:rsidR="003C7D06" w:rsidRPr="00506C71" w:rsidRDefault="003C7D06" w:rsidP="00686AF4">
            <w:pPr>
              <w:rPr>
                <w:b/>
                <w:sz w:val="22"/>
                <w:szCs w:val="22"/>
                <w:lang w:val="fr-CH"/>
              </w:rPr>
            </w:pPr>
          </w:p>
        </w:tc>
      </w:tr>
      <w:tr w:rsidR="003C7D06" w:rsidRPr="00B8595A" w14:paraId="5C0FAD7A" w14:textId="77777777" w:rsidTr="005C4236">
        <w:tc>
          <w:tcPr>
            <w:tcW w:w="2093" w:type="dxa"/>
          </w:tcPr>
          <w:p w14:paraId="0EF89225" w14:textId="77777777" w:rsidR="003C7D06" w:rsidRPr="00EB3359" w:rsidRDefault="003C7D06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710B5D85" w14:textId="77777777" w:rsidR="003C7D06" w:rsidRPr="00EB3359" w:rsidRDefault="003C7D06" w:rsidP="00686AF4">
            <w:pPr>
              <w:rPr>
                <w:b/>
                <w:sz w:val="22"/>
                <w:szCs w:val="22"/>
                <w:lang w:val="fr-CH"/>
              </w:rPr>
            </w:pPr>
          </w:p>
        </w:tc>
      </w:tr>
      <w:tr w:rsidR="00686AF4" w:rsidRPr="00B8595A" w14:paraId="1CCF27EC" w14:textId="77777777" w:rsidTr="005C4236">
        <w:tc>
          <w:tcPr>
            <w:tcW w:w="2093" w:type="dxa"/>
          </w:tcPr>
          <w:p w14:paraId="607F0C64" w14:textId="77777777" w:rsidR="00686AF4" w:rsidRPr="00EB3359" w:rsidRDefault="00520D26">
            <w:pPr>
              <w:rPr>
                <w:sz w:val="18"/>
                <w:szCs w:val="18"/>
                <w:highlight w:val="cyan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>Objet</w:t>
            </w:r>
          </w:p>
        </w:tc>
        <w:tc>
          <w:tcPr>
            <w:tcW w:w="7195" w:type="dxa"/>
          </w:tcPr>
          <w:p w14:paraId="050B47D3" w14:textId="0DEFC1C1" w:rsidR="00686AF4" w:rsidRPr="00EB3359" w:rsidRDefault="00686AF4" w:rsidP="000376A4">
            <w:pPr>
              <w:rPr>
                <w:sz w:val="22"/>
                <w:szCs w:val="22"/>
                <w:lang w:val="fr-CH"/>
              </w:rPr>
            </w:pPr>
            <w:r w:rsidRPr="00EB3359">
              <w:rPr>
                <w:b/>
                <w:sz w:val="22"/>
                <w:szCs w:val="22"/>
                <w:lang w:val="fr-CH"/>
              </w:rPr>
              <w:t>Art. 1</w:t>
            </w:r>
            <w:r w:rsidRPr="004333F9">
              <w:rPr>
                <w:sz w:val="22"/>
                <w:szCs w:val="22"/>
                <w:lang w:val="fr-CH"/>
              </w:rPr>
              <w:t xml:space="preserve"> </w:t>
            </w:r>
            <w:r w:rsidR="00520D26" w:rsidRPr="004333F9">
              <w:rPr>
                <w:sz w:val="22"/>
                <w:szCs w:val="22"/>
                <w:lang w:val="fr-CH"/>
              </w:rPr>
              <w:t>Le présent</w:t>
            </w:r>
            <w:r w:rsidR="006A2896" w:rsidRPr="004333F9">
              <w:rPr>
                <w:sz w:val="22"/>
                <w:szCs w:val="22"/>
                <w:lang w:val="fr-CH"/>
              </w:rPr>
              <w:t xml:space="preserve"> document</w:t>
            </w:r>
            <w:r w:rsidR="00520D26" w:rsidRPr="004333F9">
              <w:rPr>
                <w:sz w:val="22"/>
                <w:szCs w:val="22"/>
                <w:lang w:val="fr-CH"/>
              </w:rPr>
              <w:t xml:space="preserve"> règlement</w:t>
            </w:r>
            <w:r w:rsidR="006A2896" w:rsidRPr="004333F9">
              <w:rPr>
                <w:sz w:val="22"/>
                <w:szCs w:val="22"/>
                <w:lang w:val="fr-CH"/>
              </w:rPr>
              <w:t>e</w:t>
            </w:r>
            <w:r w:rsidR="00520D26" w:rsidRPr="00475D0D">
              <w:rPr>
                <w:sz w:val="22"/>
                <w:szCs w:val="22"/>
                <w:lang w:val="fr-CH"/>
              </w:rPr>
              <w:t xml:space="preserve"> </w:t>
            </w:r>
            <w:r w:rsidR="006A2896" w:rsidRPr="00475D0D">
              <w:rPr>
                <w:sz w:val="22"/>
                <w:szCs w:val="22"/>
                <w:lang w:val="fr-CH"/>
              </w:rPr>
              <w:t>l’émission de bons de garde pour la prise en charge extrafamiliale</w:t>
            </w:r>
            <w:r w:rsidRPr="00506C71">
              <w:rPr>
                <w:sz w:val="22"/>
                <w:szCs w:val="22"/>
                <w:lang w:val="fr-CH"/>
              </w:rPr>
              <w:t xml:space="preserve"> </w:t>
            </w:r>
            <w:r w:rsidR="00C40EA7" w:rsidRPr="00506C71">
              <w:rPr>
                <w:sz w:val="22"/>
                <w:szCs w:val="22"/>
                <w:lang w:val="fr-CH"/>
              </w:rPr>
              <w:t xml:space="preserve">des enfants </w:t>
            </w:r>
            <w:r w:rsidR="006A2896" w:rsidRPr="00506C71">
              <w:rPr>
                <w:sz w:val="22"/>
                <w:szCs w:val="22"/>
                <w:lang w:val="fr-CH"/>
              </w:rPr>
              <w:t xml:space="preserve">dans le cadre des </w:t>
            </w:r>
            <w:r w:rsidR="00C40EA7" w:rsidRPr="00506C71">
              <w:rPr>
                <w:sz w:val="22"/>
                <w:szCs w:val="22"/>
                <w:lang w:val="fr-CH"/>
              </w:rPr>
              <w:t>prescriptions</w:t>
            </w:r>
            <w:r w:rsidR="006A2896" w:rsidRPr="00506C71">
              <w:rPr>
                <w:sz w:val="22"/>
                <w:szCs w:val="22"/>
                <w:lang w:val="fr-CH"/>
              </w:rPr>
              <w:t xml:space="preserve"> du droit cantonal (notamment art.</w:t>
            </w:r>
            <w:r w:rsidR="000376A4" w:rsidRPr="00506C71">
              <w:rPr>
                <w:sz w:val="22"/>
                <w:szCs w:val="22"/>
                <w:lang w:val="fr-CH"/>
              </w:rPr>
              <w:t> </w:t>
            </w:r>
            <w:r w:rsidR="009D683D" w:rsidRPr="00506C71">
              <w:rPr>
                <w:sz w:val="22"/>
                <w:szCs w:val="22"/>
                <w:lang w:val="fr-CH"/>
              </w:rPr>
              <w:t>28 à 75</w:t>
            </w:r>
            <w:r w:rsidR="000376A4" w:rsidRPr="00506C71">
              <w:rPr>
                <w:sz w:val="22"/>
                <w:szCs w:val="22"/>
                <w:lang w:val="fr-CH"/>
              </w:rPr>
              <w:t> </w:t>
            </w:r>
            <w:r w:rsidR="009D683D" w:rsidRPr="00506C71">
              <w:rPr>
                <w:sz w:val="22"/>
                <w:szCs w:val="22"/>
                <w:lang w:val="fr-CH"/>
              </w:rPr>
              <w:t>OEJF</w:t>
            </w:r>
            <w:r w:rsidR="006A2896" w:rsidRPr="00506C71">
              <w:rPr>
                <w:sz w:val="22"/>
                <w:szCs w:val="22"/>
                <w:lang w:val="fr-CH"/>
              </w:rPr>
              <w:t>)</w:t>
            </w:r>
            <w:r w:rsidR="00FB0B03" w:rsidRPr="00EB3359">
              <w:rPr>
                <w:rStyle w:val="Funotenzeichen"/>
                <w:sz w:val="22"/>
                <w:szCs w:val="22"/>
                <w:lang w:val="fr-CH"/>
              </w:rPr>
              <w:footnoteReference w:id="1"/>
            </w:r>
            <w:r w:rsidRPr="00EB3359">
              <w:rPr>
                <w:sz w:val="22"/>
                <w:szCs w:val="22"/>
                <w:lang w:val="fr-CH"/>
              </w:rPr>
              <w:t>.</w:t>
            </w:r>
          </w:p>
        </w:tc>
      </w:tr>
      <w:tr w:rsidR="00686AF4" w:rsidRPr="00B8595A" w14:paraId="1E1AB272" w14:textId="77777777" w:rsidTr="005C4236">
        <w:tc>
          <w:tcPr>
            <w:tcW w:w="2093" w:type="dxa"/>
          </w:tcPr>
          <w:p w14:paraId="523B3A09" w14:textId="77777777" w:rsidR="00686AF4" w:rsidRPr="00EB3359" w:rsidRDefault="00686AF4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452E590A" w14:textId="77777777" w:rsidR="00686AF4" w:rsidRPr="00EB3359" w:rsidRDefault="00686AF4">
            <w:pPr>
              <w:rPr>
                <w:sz w:val="22"/>
                <w:szCs w:val="22"/>
                <w:lang w:val="fr-CH"/>
              </w:rPr>
            </w:pPr>
          </w:p>
        </w:tc>
      </w:tr>
      <w:tr w:rsidR="00686AF4" w:rsidRPr="00B8595A" w14:paraId="6D88C6B5" w14:textId="77777777" w:rsidTr="005C4236">
        <w:tc>
          <w:tcPr>
            <w:tcW w:w="2093" w:type="dxa"/>
          </w:tcPr>
          <w:p w14:paraId="013C82C7" w14:textId="77777777" w:rsidR="00686AF4" w:rsidRPr="00EB3359" w:rsidRDefault="00771DE3">
            <w:pPr>
              <w:rPr>
                <w:sz w:val="18"/>
                <w:szCs w:val="18"/>
                <w:highlight w:val="yellow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>But</w:t>
            </w:r>
          </w:p>
        </w:tc>
        <w:tc>
          <w:tcPr>
            <w:tcW w:w="7195" w:type="dxa"/>
          </w:tcPr>
          <w:p w14:paraId="0971CB16" w14:textId="4870D372" w:rsidR="00686AF4" w:rsidRPr="00506C71" w:rsidRDefault="00686AF4" w:rsidP="00506C71">
            <w:pPr>
              <w:rPr>
                <w:sz w:val="22"/>
                <w:szCs w:val="22"/>
                <w:lang w:val="fr-CH"/>
              </w:rPr>
            </w:pPr>
            <w:r w:rsidRPr="00EB3359">
              <w:rPr>
                <w:b/>
                <w:sz w:val="22"/>
                <w:szCs w:val="22"/>
                <w:lang w:val="fr-CH"/>
              </w:rPr>
              <w:t>Art. 2</w:t>
            </w:r>
            <w:r w:rsidRPr="004333F9">
              <w:rPr>
                <w:sz w:val="22"/>
                <w:szCs w:val="22"/>
                <w:lang w:val="fr-CH"/>
              </w:rPr>
              <w:t xml:space="preserve"> </w:t>
            </w:r>
            <w:r w:rsidR="00C40EA7" w:rsidRPr="004333F9">
              <w:rPr>
                <w:sz w:val="22"/>
                <w:szCs w:val="22"/>
                <w:lang w:val="fr-CH"/>
              </w:rPr>
              <w:t>La</w:t>
            </w:r>
            <w:r w:rsidR="006A2896" w:rsidRPr="004333F9">
              <w:rPr>
                <w:sz w:val="22"/>
                <w:szCs w:val="22"/>
                <w:lang w:val="fr-CH"/>
              </w:rPr>
              <w:t xml:space="preserve"> commune soutient </w:t>
            </w:r>
            <w:r w:rsidR="00500901" w:rsidRPr="00475D0D">
              <w:rPr>
                <w:sz w:val="22"/>
                <w:szCs w:val="22"/>
                <w:lang w:val="fr-CH"/>
              </w:rPr>
              <w:t>les personnes détenant l’autorité parentale</w:t>
            </w:r>
            <w:r w:rsidR="00500901" w:rsidRPr="00506C71">
              <w:rPr>
                <w:sz w:val="22"/>
                <w:szCs w:val="22"/>
                <w:lang w:val="fr-CH"/>
              </w:rPr>
              <w:t xml:space="preserve"> </w:t>
            </w:r>
            <w:r w:rsidR="006A2896" w:rsidRPr="00506C71">
              <w:rPr>
                <w:sz w:val="22"/>
                <w:szCs w:val="22"/>
                <w:lang w:val="fr-CH"/>
              </w:rPr>
              <w:t>qui ont besoin d’une solution de garde pour leur</w:t>
            </w:r>
            <w:r w:rsidR="00C40EA7" w:rsidRPr="00506C71">
              <w:rPr>
                <w:sz w:val="22"/>
                <w:szCs w:val="22"/>
                <w:lang w:val="fr-CH"/>
              </w:rPr>
              <w:t>(s)</w:t>
            </w:r>
            <w:r w:rsidR="006A2896" w:rsidRPr="00506C71">
              <w:rPr>
                <w:sz w:val="22"/>
                <w:szCs w:val="22"/>
                <w:lang w:val="fr-CH"/>
              </w:rPr>
              <w:t xml:space="preserve"> enfant</w:t>
            </w:r>
            <w:r w:rsidR="00C40EA7" w:rsidRPr="00506C71">
              <w:rPr>
                <w:sz w:val="22"/>
                <w:szCs w:val="22"/>
                <w:lang w:val="fr-CH"/>
              </w:rPr>
              <w:t>(s)</w:t>
            </w:r>
            <w:r w:rsidR="006A2896" w:rsidRPr="00506C71">
              <w:rPr>
                <w:sz w:val="22"/>
                <w:szCs w:val="22"/>
                <w:lang w:val="fr-CH"/>
              </w:rPr>
              <w:t xml:space="preserve"> dans une structure d’accueil extrafamilial (</w:t>
            </w:r>
            <w:r w:rsidR="00126756" w:rsidRPr="00506C71">
              <w:rPr>
                <w:sz w:val="22"/>
                <w:szCs w:val="22"/>
                <w:lang w:val="fr-CH"/>
              </w:rPr>
              <w:t xml:space="preserve">crèche </w:t>
            </w:r>
            <w:r w:rsidR="006A2896" w:rsidRPr="00506C71">
              <w:rPr>
                <w:sz w:val="22"/>
                <w:szCs w:val="22"/>
                <w:lang w:val="fr-CH"/>
              </w:rPr>
              <w:t xml:space="preserve">ou organisation d’accueil familial de jour) </w:t>
            </w:r>
            <w:r w:rsidR="00C40EA7" w:rsidRPr="00506C71">
              <w:rPr>
                <w:sz w:val="22"/>
                <w:szCs w:val="22"/>
                <w:lang w:val="fr-CH"/>
              </w:rPr>
              <w:t>par l’octroi de</w:t>
            </w:r>
            <w:r w:rsidR="006A2896" w:rsidRPr="00506C71">
              <w:rPr>
                <w:sz w:val="22"/>
                <w:szCs w:val="22"/>
                <w:lang w:val="fr-CH"/>
              </w:rPr>
              <w:t xml:space="preserve"> bons de garde</w:t>
            </w:r>
            <w:r w:rsidR="003C7D06" w:rsidRPr="00506C71">
              <w:rPr>
                <w:sz w:val="22"/>
                <w:szCs w:val="22"/>
                <w:lang w:val="fr-CH"/>
              </w:rPr>
              <w:t>.</w:t>
            </w:r>
          </w:p>
        </w:tc>
      </w:tr>
      <w:tr w:rsidR="00686AF4" w:rsidRPr="00B8595A" w14:paraId="75931866" w14:textId="77777777" w:rsidTr="005C4236">
        <w:tc>
          <w:tcPr>
            <w:tcW w:w="2093" w:type="dxa"/>
          </w:tcPr>
          <w:p w14:paraId="333C108B" w14:textId="77777777" w:rsidR="00686AF4" w:rsidRPr="00EB3359" w:rsidRDefault="00686AF4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22536D41" w14:textId="77777777" w:rsidR="00686AF4" w:rsidRPr="00EB3359" w:rsidRDefault="00686AF4">
            <w:pPr>
              <w:rPr>
                <w:sz w:val="22"/>
                <w:szCs w:val="22"/>
                <w:lang w:val="fr-CH"/>
              </w:rPr>
            </w:pPr>
          </w:p>
        </w:tc>
      </w:tr>
      <w:tr w:rsidR="00AD26BF" w:rsidRPr="00B8595A" w14:paraId="6701EEA5" w14:textId="77777777" w:rsidTr="005C4236">
        <w:tc>
          <w:tcPr>
            <w:tcW w:w="2093" w:type="dxa"/>
          </w:tcPr>
          <w:p w14:paraId="271BED54" w14:textId="249752B3" w:rsidR="00AD26BF" w:rsidRPr="00EB3359" w:rsidRDefault="00A01B5E">
            <w:pPr>
              <w:rPr>
                <w:sz w:val="18"/>
                <w:szCs w:val="18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>Groupe cible</w:t>
            </w:r>
            <w:r w:rsidR="005858EF" w:rsidRPr="00EB3359">
              <w:rPr>
                <w:rStyle w:val="Funotenzeichen"/>
                <w:sz w:val="18"/>
                <w:szCs w:val="18"/>
                <w:lang w:val="fr-CH"/>
              </w:rPr>
              <w:footnoteReference w:id="2"/>
            </w:r>
          </w:p>
        </w:tc>
        <w:tc>
          <w:tcPr>
            <w:tcW w:w="7195" w:type="dxa"/>
          </w:tcPr>
          <w:p w14:paraId="756C751F" w14:textId="0C9E710C" w:rsidR="005858EF" w:rsidRPr="004333F9" w:rsidRDefault="006A2896" w:rsidP="00AD26BF">
            <w:pPr>
              <w:rPr>
                <w:sz w:val="22"/>
                <w:szCs w:val="22"/>
                <w:u w:val="single"/>
                <w:lang w:val="fr-CH"/>
              </w:rPr>
            </w:pPr>
            <w:r w:rsidRPr="00EB3359">
              <w:rPr>
                <w:sz w:val="22"/>
                <w:szCs w:val="22"/>
                <w:u w:val="single"/>
                <w:lang w:val="fr-CH"/>
              </w:rPr>
              <w:t>Option</w:t>
            </w:r>
            <w:r w:rsidR="00580359" w:rsidRPr="004333F9">
              <w:rPr>
                <w:sz w:val="22"/>
                <w:szCs w:val="22"/>
                <w:u w:val="single"/>
                <w:lang w:val="fr-CH"/>
              </w:rPr>
              <w:t> </w:t>
            </w:r>
            <w:r w:rsidR="005858EF" w:rsidRPr="004333F9">
              <w:rPr>
                <w:sz w:val="22"/>
                <w:szCs w:val="22"/>
                <w:u w:val="single"/>
                <w:lang w:val="fr-CH"/>
              </w:rPr>
              <w:t>1</w:t>
            </w:r>
          </w:p>
          <w:p w14:paraId="5CD61CA6" w14:textId="046158D8" w:rsidR="00AD26BF" w:rsidRPr="00506C71" w:rsidRDefault="00AD26BF" w:rsidP="00AD26BF">
            <w:pPr>
              <w:rPr>
                <w:sz w:val="22"/>
                <w:szCs w:val="22"/>
                <w:lang w:val="fr-CH"/>
              </w:rPr>
            </w:pPr>
            <w:r w:rsidRPr="00506C71">
              <w:rPr>
                <w:b/>
                <w:sz w:val="22"/>
                <w:szCs w:val="22"/>
                <w:lang w:val="fr-CH"/>
              </w:rPr>
              <w:t xml:space="preserve">Art. 3 </w:t>
            </w:r>
            <w:r w:rsidRPr="00506C71">
              <w:rPr>
                <w:sz w:val="22"/>
                <w:szCs w:val="22"/>
                <w:vertAlign w:val="superscript"/>
                <w:lang w:val="fr-CH"/>
              </w:rPr>
              <w:t>1</w:t>
            </w:r>
            <w:r w:rsidRPr="00506C71">
              <w:rPr>
                <w:b/>
                <w:sz w:val="22"/>
                <w:szCs w:val="22"/>
                <w:lang w:val="fr-CH"/>
              </w:rPr>
              <w:t xml:space="preserve"> </w:t>
            </w:r>
            <w:r w:rsidR="006A2896" w:rsidRPr="00506C71">
              <w:rPr>
                <w:sz w:val="22"/>
                <w:szCs w:val="22"/>
                <w:lang w:val="fr-CH"/>
              </w:rPr>
              <w:t>Les bons de garde sont destinés</w:t>
            </w:r>
          </w:p>
          <w:p w14:paraId="1D15E5D9" w14:textId="358A0FB5" w:rsidR="00AD26BF" w:rsidRPr="00506C71" w:rsidRDefault="00A01B5E" w:rsidP="00AD26BF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lang w:val="fr-CH"/>
              </w:rPr>
              <w:t xml:space="preserve">en principe aux </w:t>
            </w:r>
            <w:r w:rsidR="00771DE3" w:rsidRPr="00506C71">
              <w:rPr>
                <w:sz w:val="22"/>
                <w:szCs w:val="22"/>
                <w:lang w:val="fr-CH"/>
              </w:rPr>
              <w:t xml:space="preserve">enfants </w:t>
            </w:r>
            <w:r w:rsidRPr="00506C71">
              <w:rPr>
                <w:sz w:val="22"/>
                <w:szCs w:val="22"/>
                <w:lang w:val="fr-CH"/>
              </w:rPr>
              <w:t>jusqu’à la fin de</w:t>
            </w:r>
            <w:r w:rsidR="00B62319" w:rsidRPr="00506C71">
              <w:rPr>
                <w:sz w:val="22"/>
                <w:szCs w:val="22"/>
                <w:lang w:val="fr-CH"/>
              </w:rPr>
              <w:t xml:space="preserve"> l’école enfantine</w:t>
            </w:r>
            <w:r w:rsidR="00AD26BF" w:rsidRPr="00506C71">
              <w:rPr>
                <w:sz w:val="22"/>
                <w:szCs w:val="22"/>
                <w:lang w:val="fr-CH"/>
              </w:rPr>
              <w:t>,</w:t>
            </w:r>
          </w:p>
          <w:p w14:paraId="0C70E95E" w14:textId="492BC64B" w:rsidR="00AD26BF" w:rsidRPr="00506C71" w:rsidRDefault="0038311A" w:rsidP="00D92EEE">
            <w:pPr>
              <w:pStyle w:val="Listenabsatz"/>
              <w:numPr>
                <w:ilvl w:val="0"/>
                <w:numId w:val="2"/>
              </w:numPr>
              <w:spacing w:after="240"/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lang w:val="fr-CH"/>
              </w:rPr>
              <w:t xml:space="preserve">aux </w:t>
            </w:r>
            <w:r w:rsidR="00B62319" w:rsidRPr="00506C71">
              <w:rPr>
                <w:sz w:val="22"/>
                <w:szCs w:val="22"/>
                <w:lang w:val="fr-CH"/>
              </w:rPr>
              <w:t>enfants</w:t>
            </w:r>
            <w:r w:rsidR="00771DE3" w:rsidRPr="00506C71">
              <w:rPr>
                <w:sz w:val="22"/>
                <w:szCs w:val="22"/>
                <w:lang w:val="fr-CH"/>
              </w:rPr>
              <w:t xml:space="preserve"> d’âge </w:t>
            </w:r>
            <w:r w:rsidR="00B62319" w:rsidRPr="00506C71">
              <w:rPr>
                <w:sz w:val="22"/>
                <w:szCs w:val="22"/>
                <w:lang w:val="fr-CH"/>
              </w:rPr>
              <w:t xml:space="preserve">scolaire </w:t>
            </w:r>
            <w:r w:rsidR="00D92EEE" w:rsidRPr="00506C71">
              <w:rPr>
                <w:sz w:val="22"/>
                <w:szCs w:val="22"/>
                <w:lang w:val="fr-CH"/>
              </w:rPr>
              <w:t>ayant terminé l’école enfantine si la prise en charge est assurée par des parents de jour</w:t>
            </w:r>
            <w:r w:rsidR="00AD26BF" w:rsidRPr="00506C71">
              <w:rPr>
                <w:sz w:val="22"/>
                <w:szCs w:val="22"/>
                <w:lang w:val="fr-CH"/>
              </w:rPr>
              <w:t>.</w:t>
            </w:r>
          </w:p>
          <w:p w14:paraId="62B56196" w14:textId="4578326D" w:rsidR="005858EF" w:rsidRPr="00506C71" w:rsidRDefault="006A2896" w:rsidP="00AD26BF">
            <w:p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u w:val="single"/>
                <w:lang w:val="fr-CH"/>
              </w:rPr>
              <w:t>Option</w:t>
            </w:r>
            <w:r w:rsidR="00580359" w:rsidRPr="00506C71">
              <w:rPr>
                <w:sz w:val="22"/>
                <w:szCs w:val="22"/>
                <w:u w:val="single"/>
                <w:lang w:val="fr-CH"/>
              </w:rPr>
              <w:t> </w:t>
            </w:r>
            <w:r w:rsidR="005858EF" w:rsidRPr="00506C71">
              <w:rPr>
                <w:sz w:val="22"/>
                <w:szCs w:val="22"/>
                <w:u w:val="single"/>
                <w:lang w:val="fr-CH"/>
              </w:rPr>
              <w:t>2</w:t>
            </w:r>
          </w:p>
          <w:p w14:paraId="636D984C" w14:textId="2F62FDE5" w:rsidR="00AD26BF" w:rsidRPr="00506C71" w:rsidRDefault="005858EF" w:rsidP="00AD26BF">
            <w:pPr>
              <w:rPr>
                <w:sz w:val="22"/>
                <w:szCs w:val="22"/>
                <w:lang w:val="fr-CH"/>
              </w:rPr>
            </w:pPr>
            <w:r w:rsidRPr="00506C71">
              <w:rPr>
                <w:b/>
                <w:sz w:val="22"/>
                <w:szCs w:val="22"/>
                <w:lang w:val="fr-CH"/>
              </w:rPr>
              <w:t xml:space="preserve">Art. 3 </w:t>
            </w:r>
            <w:r w:rsidR="00AD26BF" w:rsidRPr="00506C71">
              <w:rPr>
                <w:sz w:val="22"/>
                <w:szCs w:val="22"/>
                <w:vertAlign w:val="superscript"/>
                <w:lang w:val="fr-CH"/>
              </w:rPr>
              <w:t>1</w:t>
            </w:r>
            <w:r w:rsidR="00AD26BF" w:rsidRPr="00506C71">
              <w:rPr>
                <w:sz w:val="22"/>
                <w:szCs w:val="22"/>
                <w:lang w:val="fr-CH"/>
              </w:rPr>
              <w:t xml:space="preserve"> </w:t>
            </w:r>
            <w:r w:rsidR="006A2896" w:rsidRPr="00506C71">
              <w:rPr>
                <w:sz w:val="22"/>
                <w:szCs w:val="22"/>
                <w:lang w:val="fr-CH"/>
              </w:rPr>
              <w:t>Les bons de garde sont destinés</w:t>
            </w:r>
          </w:p>
          <w:p w14:paraId="7E788F85" w14:textId="03B2FB15" w:rsidR="00AD26BF" w:rsidRPr="00506C71" w:rsidRDefault="0038311A" w:rsidP="00AD26BF">
            <w:pPr>
              <w:pStyle w:val="Listenabsatz"/>
              <w:numPr>
                <w:ilvl w:val="0"/>
                <w:numId w:val="3"/>
              </w:num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lang w:val="fr-CH"/>
              </w:rPr>
              <w:t xml:space="preserve">aux </w:t>
            </w:r>
            <w:r w:rsidR="00B62319" w:rsidRPr="00506C71">
              <w:rPr>
                <w:sz w:val="22"/>
                <w:szCs w:val="22"/>
                <w:lang w:val="fr-CH"/>
              </w:rPr>
              <w:t>enfants d’âge préscolaire (</w:t>
            </w:r>
            <w:r w:rsidRPr="00506C71">
              <w:rPr>
                <w:sz w:val="22"/>
                <w:szCs w:val="22"/>
                <w:lang w:val="fr-CH"/>
              </w:rPr>
              <w:t xml:space="preserve">en vue de leur </w:t>
            </w:r>
            <w:r w:rsidR="00B62319" w:rsidRPr="00506C71">
              <w:rPr>
                <w:sz w:val="22"/>
                <w:szCs w:val="22"/>
                <w:lang w:val="fr-CH"/>
              </w:rPr>
              <w:t xml:space="preserve">prise en charge en </w:t>
            </w:r>
            <w:r w:rsidR="00126756" w:rsidRPr="00506C71">
              <w:rPr>
                <w:sz w:val="22"/>
                <w:szCs w:val="22"/>
                <w:lang w:val="fr-CH"/>
              </w:rPr>
              <w:t>crèche</w:t>
            </w:r>
            <w:r w:rsidR="00B62319" w:rsidRPr="00506C71">
              <w:rPr>
                <w:sz w:val="22"/>
                <w:szCs w:val="22"/>
                <w:lang w:val="fr-CH"/>
              </w:rPr>
              <w:t>)</w:t>
            </w:r>
            <w:r w:rsidR="00AD26BF" w:rsidRPr="00506C71">
              <w:rPr>
                <w:sz w:val="22"/>
                <w:szCs w:val="22"/>
                <w:lang w:val="fr-CH"/>
              </w:rPr>
              <w:t>,</w:t>
            </w:r>
          </w:p>
          <w:p w14:paraId="58A39D44" w14:textId="42250E40" w:rsidR="006F00CB" w:rsidRPr="00506C71" w:rsidRDefault="0038311A" w:rsidP="00345864">
            <w:pPr>
              <w:pStyle w:val="Listenabsatz"/>
              <w:numPr>
                <w:ilvl w:val="0"/>
                <w:numId w:val="3"/>
              </w:numPr>
              <w:spacing w:after="240"/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lang w:val="fr-CH"/>
              </w:rPr>
              <w:t xml:space="preserve">aux </w:t>
            </w:r>
            <w:r w:rsidR="00771DE3" w:rsidRPr="00506C71">
              <w:rPr>
                <w:sz w:val="22"/>
                <w:szCs w:val="22"/>
                <w:lang w:val="fr-CH"/>
              </w:rPr>
              <w:t>enfants d’âge préscolaire ou</w:t>
            </w:r>
            <w:r w:rsidR="00B62319" w:rsidRPr="00506C71">
              <w:rPr>
                <w:sz w:val="22"/>
                <w:szCs w:val="22"/>
                <w:lang w:val="fr-CH"/>
              </w:rPr>
              <w:t xml:space="preserve"> scolaire </w:t>
            </w:r>
            <w:r w:rsidR="009F14CC" w:rsidRPr="00506C71">
              <w:rPr>
                <w:sz w:val="22"/>
                <w:szCs w:val="22"/>
                <w:lang w:val="fr-CH"/>
              </w:rPr>
              <w:t>jusqu’en 3</w:t>
            </w:r>
            <w:r w:rsidR="009F14CC" w:rsidRPr="00506C71">
              <w:rPr>
                <w:sz w:val="22"/>
                <w:szCs w:val="22"/>
                <w:vertAlign w:val="superscript"/>
                <w:lang w:val="fr-CH"/>
              </w:rPr>
              <w:t>e</w:t>
            </w:r>
            <w:r w:rsidR="002F3010" w:rsidRPr="00506C71">
              <w:rPr>
                <w:sz w:val="22"/>
                <w:szCs w:val="22"/>
                <w:lang w:val="fr-CH"/>
              </w:rPr>
              <w:t> </w:t>
            </w:r>
            <w:r w:rsidR="009F14CC" w:rsidRPr="00506C71">
              <w:rPr>
                <w:sz w:val="22"/>
                <w:szCs w:val="22"/>
                <w:lang w:val="fr-CH"/>
              </w:rPr>
              <w:t xml:space="preserve">année </w:t>
            </w:r>
            <w:r w:rsidR="00B62319" w:rsidRPr="00506C71">
              <w:rPr>
                <w:sz w:val="22"/>
                <w:szCs w:val="22"/>
                <w:lang w:val="fr-CH"/>
              </w:rPr>
              <w:t>(</w:t>
            </w:r>
            <w:r w:rsidRPr="00506C71">
              <w:rPr>
                <w:sz w:val="22"/>
                <w:szCs w:val="22"/>
                <w:lang w:val="fr-CH"/>
              </w:rPr>
              <w:t xml:space="preserve">en vue de leur </w:t>
            </w:r>
            <w:r w:rsidR="00B62319" w:rsidRPr="00506C71">
              <w:rPr>
                <w:sz w:val="22"/>
                <w:szCs w:val="22"/>
                <w:lang w:val="fr-CH"/>
              </w:rPr>
              <w:t>prise en charge chez des parents de jour)</w:t>
            </w:r>
            <w:r w:rsidR="00AD26BF" w:rsidRPr="00506C71">
              <w:rPr>
                <w:sz w:val="22"/>
                <w:szCs w:val="22"/>
                <w:lang w:val="fr-CH"/>
              </w:rPr>
              <w:t>.</w:t>
            </w:r>
          </w:p>
          <w:p w14:paraId="17D5253A" w14:textId="5311E751" w:rsidR="00AD26BF" w:rsidRPr="00506C71" w:rsidRDefault="006F00CB" w:rsidP="00771DE3">
            <w:pPr>
              <w:rPr>
                <w:sz w:val="22"/>
                <w:szCs w:val="22"/>
                <w:lang w:val="fr-CH"/>
              </w:rPr>
            </w:pPr>
            <w:r w:rsidRPr="00506C71">
              <w:rPr>
                <w:vertAlign w:val="superscript"/>
                <w:lang w:val="fr-CH"/>
              </w:rPr>
              <w:t>2</w:t>
            </w:r>
            <w:r w:rsidRPr="00506C71">
              <w:rPr>
                <w:lang w:val="fr-CH"/>
              </w:rPr>
              <w:t xml:space="preserve"> </w:t>
            </w:r>
            <w:r w:rsidR="009F14CC" w:rsidRPr="00506C71">
              <w:rPr>
                <w:sz w:val="22"/>
                <w:szCs w:val="22"/>
                <w:lang w:val="fr-CH"/>
              </w:rPr>
              <w:t>Les enfants d’âge scolaire qui ont</w:t>
            </w:r>
            <w:r w:rsidR="00771DE3" w:rsidRPr="00506C71">
              <w:rPr>
                <w:sz w:val="22"/>
                <w:szCs w:val="22"/>
                <w:lang w:val="fr-CH"/>
              </w:rPr>
              <w:t xml:space="preserve"> la possibilité de fréquenter une </w:t>
            </w:r>
            <w:r w:rsidR="009F14CC" w:rsidRPr="00506C71">
              <w:rPr>
                <w:sz w:val="22"/>
                <w:szCs w:val="22"/>
                <w:lang w:val="fr-CH"/>
              </w:rPr>
              <w:t>école à journée continue</w:t>
            </w:r>
            <w:r w:rsidR="00771DE3" w:rsidRPr="00506C71">
              <w:rPr>
                <w:sz w:val="22"/>
                <w:szCs w:val="22"/>
                <w:lang w:val="fr-CH"/>
              </w:rPr>
              <w:t xml:space="preserve"> dans la plage horaire souhaitée</w:t>
            </w:r>
            <w:r w:rsidR="009F14CC" w:rsidRPr="00506C71">
              <w:rPr>
                <w:sz w:val="22"/>
                <w:szCs w:val="22"/>
                <w:lang w:val="fr-CH"/>
              </w:rPr>
              <w:t xml:space="preserve"> ne bénéficient d’aucun bon</w:t>
            </w:r>
            <w:r w:rsidR="0038311A" w:rsidRPr="00506C71">
              <w:rPr>
                <w:sz w:val="22"/>
                <w:szCs w:val="22"/>
                <w:lang w:val="fr-CH"/>
              </w:rPr>
              <w:t xml:space="preserve"> en vue de leur prise en charge chez des parents de jour</w:t>
            </w:r>
            <w:r w:rsidRPr="00506C71">
              <w:rPr>
                <w:sz w:val="22"/>
                <w:szCs w:val="22"/>
                <w:lang w:val="fr-CH"/>
              </w:rPr>
              <w:t>.</w:t>
            </w:r>
          </w:p>
        </w:tc>
      </w:tr>
      <w:tr w:rsidR="00AD26BF" w:rsidRPr="00B8595A" w14:paraId="2B4CBB43" w14:textId="77777777" w:rsidTr="005C4236">
        <w:tc>
          <w:tcPr>
            <w:tcW w:w="2093" w:type="dxa"/>
          </w:tcPr>
          <w:p w14:paraId="502D2235" w14:textId="77777777" w:rsidR="00AD26BF" w:rsidRPr="00EB3359" w:rsidRDefault="00AD26BF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6E86252A" w14:textId="77777777" w:rsidR="00AD26BF" w:rsidRPr="00EB3359" w:rsidRDefault="00AD26BF">
            <w:pPr>
              <w:rPr>
                <w:sz w:val="22"/>
                <w:szCs w:val="22"/>
                <w:lang w:val="fr-CH"/>
              </w:rPr>
            </w:pPr>
          </w:p>
        </w:tc>
      </w:tr>
      <w:tr w:rsidR="00FB0B03" w:rsidRPr="00B8595A" w14:paraId="38AC808D" w14:textId="77777777" w:rsidTr="005C4236">
        <w:tc>
          <w:tcPr>
            <w:tcW w:w="2093" w:type="dxa"/>
          </w:tcPr>
          <w:p w14:paraId="39B8CEAF" w14:textId="77777777" w:rsidR="00FB0B03" w:rsidRPr="00EB3359" w:rsidRDefault="00FB0B03">
            <w:pPr>
              <w:rPr>
                <w:sz w:val="18"/>
                <w:szCs w:val="18"/>
                <w:highlight w:val="yellow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>Organisation</w:t>
            </w:r>
          </w:p>
        </w:tc>
        <w:tc>
          <w:tcPr>
            <w:tcW w:w="7195" w:type="dxa"/>
          </w:tcPr>
          <w:p w14:paraId="01DDE525" w14:textId="461D8F26" w:rsidR="00FB0B03" w:rsidRPr="00EB3359" w:rsidRDefault="00FB0B03" w:rsidP="004528A3">
            <w:pPr>
              <w:rPr>
                <w:sz w:val="22"/>
                <w:szCs w:val="22"/>
                <w:lang w:val="fr-CH"/>
              </w:rPr>
            </w:pPr>
            <w:r w:rsidRPr="00EB3359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AD26BF" w:rsidRPr="004333F9">
              <w:rPr>
                <w:b/>
                <w:sz w:val="22"/>
                <w:szCs w:val="22"/>
                <w:lang w:val="fr-CH"/>
              </w:rPr>
              <w:t>4</w:t>
            </w:r>
            <w:r w:rsidRPr="004333F9">
              <w:rPr>
                <w:sz w:val="22"/>
                <w:szCs w:val="22"/>
                <w:lang w:val="fr-CH"/>
              </w:rPr>
              <w:t xml:space="preserve"> </w:t>
            </w:r>
            <w:r w:rsidR="00F35A1F" w:rsidRPr="004333F9">
              <w:rPr>
                <w:sz w:val="22"/>
                <w:szCs w:val="22"/>
                <w:lang w:val="fr-CH"/>
              </w:rPr>
              <w:t xml:space="preserve">Le conseil communal désigne </w:t>
            </w:r>
            <w:r w:rsidR="00771DE3" w:rsidRPr="004333F9">
              <w:rPr>
                <w:sz w:val="22"/>
                <w:szCs w:val="22"/>
                <w:lang w:val="fr-CH"/>
              </w:rPr>
              <w:t>le</w:t>
            </w:r>
            <w:r w:rsidR="00F35A1F" w:rsidRPr="004333F9">
              <w:rPr>
                <w:sz w:val="22"/>
                <w:szCs w:val="22"/>
                <w:lang w:val="fr-CH"/>
              </w:rPr>
              <w:t xml:space="preserve"> service chargé d’émettre les bons et règle les compétences décisionnelle</w:t>
            </w:r>
            <w:r w:rsidR="00F35A1F" w:rsidRPr="00506C71">
              <w:rPr>
                <w:sz w:val="22"/>
                <w:szCs w:val="22"/>
                <w:lang w:val="fr-CH"/>
              </w:rPr>
              <w:t>s par voie d’ordonnance</w:t>
            </w:r>
            <w:r w:rsidR="004528A3" w:rsidRPr="00EB3359">
              <w:rPr>
                <w:rStyle w:val="Funotenzeichen"/>
                <w:sz w:val="22"/>
                <w:szCs w:val="22"/>
                <w:lang w:val="fr-CH"/>
              </w:rPr>
              <w:footnoteReference w:id="3"/>
            </w:r>
            <w:r w:rsidR="004528A3" w:rsidRPr="00EB3359">
              <w:rPr>
                <w:sz w:val="22"/>
                <w:szCs w:val="22"/>
                <w:lang w:val="fr-CH"/>
              </w:rPr>
              <w:t>.</w:t>
            </w:r>
          </w:p>
        </w:tc>
      </w:tr>
      <w:tr w:rsidR="00FB0B03" w:rsidRPr="00B8595A" w14:paraId="4B4C0880" w14:textId="77777777" w:rsidTr="005C4236">
        <w:tc>
          <w:tcPr>
            <w:tcW w:w="2093" w:type="dxa"/>
          </w:tcPr>
          <w:p w14:paraId="4CCC7F56" w14:textId="77777777" w:rsidR="00FB0B03" w:rsidRPr="00EB3359" w:rsidRDefault="00FB0B03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5C3DD61D" w14:textId="77777777" w:rsidR="00FB0B03" w:rsidRPr="00EB3359" w:rsidRDefault="00FB0B03">
            <w:pPr>
              <w:rPr>
                <w:sz w:val="22"/>
                <w:szCs w:val="22"/>
                <w:lang w:val="fr-CH"/>
              </w:rPr>
            </w:pPr>
          </w:p>
        </w:tc>
      </w:tr>
      <w:tr w:rsidR="00686AF4" w:rsidRPr="00B8595A" w14:paraId="1B734FE2" w14:textId="77777777" w:rsidTr="005C4236">
        <w:tc>
          <w:tcPr>
            <w:tcW w:w="2093" w:type="dxa"/>
          </w:tcPr>
          <w:p w14:paraId="76A8A6EC" w14:textId="48CBB70C" w:rsidR="00FB0B03" w:rsidRPr="00EB3359" w:rsidRDefault="006A0422" w:rsidP="00060FBF">
            <w:pPr>
              <w:rPr>
                <w:sz w:val="18"/>
                <w:szCs w:val="18"/>
                <w:highlight w:val="yellow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 xml:space="preserve">Droit </w:t>
            </w:r>
            <w:r w:rsidR="00060FBF" w:rsidRPr="00EB3359">
              <w:rPr>
                <w:sz w:val="18"/>
                <w:szCs w:val="18"/>
                <w:lang w:val="fr-CH"/>
              </w:rPr>
              <w:t>aux</w:t>
            </w:r>
            <w:r w:rsidRPr="00EB3359">
              <w:rPr>
                <w:sz w:val="18"/>
                <w:szCs w:val="18"/>
                <w:lang w:val="fr-CH"/>
              </w:rPr>
              <w:t xml:space="preserve"> bon</w:t>
            </w:r>
            <w:r w:rsidR="00060FBF" w:rsidRPr="00EB3359">
              <w:rPr>
                <w:sz w:val="18"/>
                <w:szCs w:val="18"/>
                <w:lang w:val="fr-CH"/>
              </w:rPr>
              <w:t>s</w:t>
            </w:r>
            <w:r w:rsidRPr="00EB3359">
              <w:rPr>
                <w:sz w:val="18"/>
                <w:szCs w:val="18"/>
                <w:lang w:val="fr-CH"/>
              </w:rPr>
              <w:t xml:space="preserve"> de garde</w:t>
            </w:r>
            <w:r w:rsidR="00B63A9E" w:rsidRPr="00EB3359">
              <w:rPr>
                <w:rStyle w:val="Funotenzeichen"/>
                <w:sz w:val="22"/>
                <w:szCs w:val="22"/>
                <w:lang w:val="fr-CH"/>
              </w:rPr>
              <w:footnoteReference w:id="4"/>
            </w:r>
          </w:p>
        </w:tc>
        <w:tc>
          <w:tcPr>
            <w:tcW w:w="7195" w:type="dxa"/>
          </w:tcPr>
          <w:p w14:paraId="7B1C3D1F" w14:textId="215DF08F" w:rsidR="005858EF" w:rsidRPr="00506C71" w:rsidRDefault="006A0422" w:rsidP="00411210">
            <w:p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u w:val="single"/>
                <w:lang w:val="fr-CH"/>
              </w:rPr>
              <w:t>Option</w:t>
            </w:r>
            <w:r w:rsidR="00E66169" w:rsidRPr="00506C71">
              <w:rPr>
                <w:sz w:val="22"/>
                <w:szCs w:val="22"/>
                <w:u w:val="single"/>
                <w:lang w:val="fr-CH"/>
              </w:rPr>
              <w:t> </w:t>
            </w:r>
            <w:r w:rsidR="00E635AF" w:rsidRPr="00506C71">
              <w:rPr>
                <w:sz w:val="22"/>
                <w:szCs w:val="22"/>
                <w:u w:val="single"/>
                <w:lang w:val="fr-CH"/>
              </w:rPr>
              <w:t>1</w:t>
            </w:r>
          </w:p>
          <w:p w14:paraId="113DDF62" w14:textId="03FD39AB" w:rsidR="00445DE1" w:rsidRPr="00506C71" w:rsidRDefault="005858EF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EB3359">
              <w:rPr>
                <w:b/>
                <w:sz w:val="22"/>
                <w:szCs w:val="22"/>
                <w:lang w:val="fr-CH"/>
              </w:rPr>
              <w:t>Art. 5</w:t>
            </w:r>
            <w:r w:rsidR="00411210" w:rsidRPr="00EB3359">
              <w:rPr>
                <w:sz w:val="22"/>
                <w:szCs w:val="22"/>
                <w:lang w:val="fr-CH"/>
              </w:rPr>
              <w:t xml:space="preserve"> </w:t>
            </w:r>
            <w:r w:rsidR="00445DE1" w:rsidRPr="00EB3359">
              <w:rPr>
                <w:sz w:val="22"/>
                <w:szCs w:val="22"/>
                <w:vertAlign w:val="superscript"/>
                <w:lang w:val="fr-CH"/>
              </w:rPr>
              <w:t xml:space="preserve">1 </w:t>
            </w:r>
            <w:r w:rsidR="006A0422" w:rsidRPr="00EB3359">
              <w:rPr>
                <w:sz w:val="22"/>
                <w:szCs w:val="22"/>
                <w:lang w:val="fr-CH"/>
              </w:rPr>
              <w:t xml:space="preserve">Les </w:t>
            </w:r>
            <w:r w:rsidR="00C53356" w:rsidRPr="00EB3359">
              <w:rPr>
                <w:sz w:val="22"/>
                <w:szCs w:val="22"/>
                <w:lang w:val="fr-CH"/>
              </w:rPr>
              <w:t>personnes</w:t>
            </w:r>
            <w:r w:rsidR="00C53356">
              <w:rPr>
                <w:sz w:val="22"/>
                <w:szCs w:val="22"/>
                <w:lang w:val="fr-CH"/>
              </w:rPr>
              <w:t xml:space="preserve"> détenant l’autorité parentale</w:t>
            </w:r>
            <w:r w:rsidR="00C53356" w:rsidRPr="00EB3359">
              <w:rPr>
                <w:sz w:val="22"/>
                <w:szCs w:val="22"/>
                <w:lang w:val="fr-CH"/>
              </w:rPr>
              <w:t xml:space="preserve"> </w:t>
            </w:r>
            <w:r w:rsidR="006A0422" w:rsidRPr="00EB3359">
              <w:rPr>
                <w:sz w:val="22"/>
                <w:szCs w:val="22"/>
                <w:lang w:val="fr-CH"/>
              </w:rPr>
              <w:t xml:space="preserve">ont droit à </w:t>
            </w:r>
            <w:r w:rsidR="001852F5" w:rsidRPr="00EB3359">
              <w:rPr>
                <w:sz w:val="22"/>
                <w:szCs w:val="22"/>
                <w:lang w:val="fr-CH"/>
              </w:rPr>
              <w:t>des</w:t>
            </w:r>
            <w:r w:rsidR="006A0422" w:rsidRPr="004333F9">
              <w:rPr>
                <w:sz w:val="22"/>
                <w:szCs w:val="22"/>
                <w:lang w:val="fr-CH"/>
              </w:rPr>
              <w:t xml:space="preserve"> bon</w:t>
            </w:r>
            <w:r w:rsidR="001852F5" w:rsidRPr="004333F9">
              <w:rPr>
                <w:sz w:val="22"/>
                <w:szCs w:val="22"/>
                <w:lang w:val="fr-CH"/>
              </w:rPr>
              <w:t>s</w:t>
            </w:r>
            <w:r w:rsidR="006A0422" w:rsidRPr="004333F9">
              <w:rPr>
                <w:sz w:val="22"/>
                <w:szCs w:val="22"/>
                <w:lang w:val="fr-CH"/>
              </w:rPr>
              <w:t xml:space="preserve"> de garde</w:t>
            </w:r>
            <w:r w:rsidR="00E81E13" w:rsidRPr="004333F9">
              <w:rPr>
                <w:sz w:val="22"/>
                <w:szCs w:val="22"/>
                <w:lang w:val="fr-CH"/>
              </w:rPr>
              <w:t>,</w:t>
            </w:r>
            <w:r w:rsidR="006A0422" w:rsidRPr="00475D0D">
              <w:rPr>
                <w:sz w:val="22"/>
                <w:szCs w:val="22"/>
                <w:lang w:val="fr-CH"/>
              </w:rPr>
              <w:t xml:space="preserve"> mais pas à une place dans une structure d’accueil extrafamilial</w:t>
            </w:r>
            <w:r w:rsidR="00411210" w:rsidRPr="00506C71">
              <w:rPr>
                <w:sz w:val="22"/>
                <w:szCs w:val="22"/>
                <w:lang w:val="fr-CH"/>
              </w:rPr>
              <w:t>.</w:t>
            </w:r>
          </w:p>
          <w:p w14:paraId="234E1B7F" w14:textId="3FAEEF90" w:rsidR="00445DE1" w:rsidRPr="00CF5076" w:rsidRDefault="00445DE1" w:rsidP="00E635AF">
            <w:p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vertAlign w:val="superscript"/>
                <w:lang w:val="fr-CH"/>
              </w:rPr>
              <w:lastRenderedPageBreak/>
              <w:t>2</w:t>
            </w:r>
            <w:r w:rsidRPr="00506C71">
              <w:rPr>
                <w:sz w:val="22"/>
                <w:szCs w:val="22"/>
                <w:lang w:val="fr-CH"/>
              </w:rPr>
              <w:t xml:space="preserve"> </w:t>
            </w:r>
            <w:r w:rsidR="009F14CC" w:rsidRPr="00506C71">
              <w:rPr>
                <w:sz w:val="22"/>
                <w:szCs w:val="22"/>
                <w:lang w:val="fr-CH"/>
              </w:rPr>
              <w:t>Demeur</w:t>
            </w:r>
            <w:r w:rsidR="001E60CC" w:rsidRPr="00506C71">
              <w:rPr>
                <w:sz w:val="22"/>
                <w:szCs w:val="22"/>
                <w:lang w:val="fr-CH"/>
              </w:rPr>
              <w:t>e</w:t>
            </w:r>
            <w:r w:rsidR="001852F5" w:rsidRPr="00506C71">
              <w:rPr>
                <w:sz w:val="22"/>
                <w:szCs w:val="22"/>
                <w:lang w:val="fr-CH"/>
              </w:rPr>
              <w:t xml:space="preserve"> dans tous les cas réservé </w:t>
            </w:r>
            <w:r w:rsidR="009F14CC" w:rsidRPr="00506C71">
              <w:rPr>
                <w:sz w:val="22"/>
                <w:szCs w:val="22"/>
                <w:lang w:val="fr-CH"/>
              </w:rPr>
              <w:t>l’article </w:t>
            </w:r>
            <w:r w:rsidR="00E635AF" w:rsidRPr="00506C71">
              <w:rPr>
                <w:sz w:val="22"/>
                <w:szCs w:val="22"/>
                <w:lang w:val="fr-CH"/>
              </w:rPr>
              <w:t>3</w:t>
            </w:r>
            <w:r w:rsidR="009F14CC" w:rsidRPr="00506C71">
              <w:rPr>
                <w:sz w:val="22"/>
                <w:szCs w:val="22"/>
                <w:lang w:val="fr-CH"/>
              </w:rPr>
              <w:t>, alinéa </w:t>
            </w:r>
            <w:r w:rsidRPr="00506C71">
              <w:rPr>
                <w:sz w:val="22"/>
                <w:szCs w:val="22"/>
                <w:lang w:val="fr-CH"/>
              </w:rPr>
              <w:t>1</w:t>
            </w:r>
            <w:r w:rsidR="00FB7277" w:rsidRPr="00506C71">
              <w:rPr>
                <w:sz w:val="22"/>
                <w:szCs w:val="22"/>
                <w:lang w:val="fr-CH"/>
              </w:rPr>
              <w:t>, lettre</w:t>
            </w:r>
            <w:r w:rsidR="001E60CC" w:rsidRPr="00506C71">
              <w:rPr>
                <w:sz w:val="22"/>
                <w:szCs w:val="22"/>
                <w:lang w:val="fr-CH"/>
              </w:rPr>
              <w:t> </w:t>
            </w:r>
            <w:r w:rsidR="00E635AF" w:rsidRPr="009C63EC">
              <w:rPr>
                <w:i/>
                <w:sz w:val="22"/>
                <w:szCs w:val="22"/>
                <w:lang w:val="fr-CH"/>
              </w:rPr>
              <w:t>a</w:t>
            </w:r>
            <w:r w:rsidR="00E635AF" w:rsidRPr="00F33494">
              <w:rPr>
                <w:sz w:val="22"/>
                <w:szCs w:val="22"/>
                <w:lang w:val="fr-CH"/>
              </w:rPr>
              <w:t> OEJF</w:t>
            </w:r>
            <w:r w:rsidRPr="00F33494">
              <w:rPr>
                <w:sz w:val="22"/>
                <w:szCs w:val="22"/>
                <w:lang w:val="fr-CH"/>
              </w:rPr>
              <w:t xml:space="preserve">, </w:t>
            </w:r>
            <w:r w:rsidR="00490B77" w:rsidRPr="00506C71">
              <w:rPr>
                <w:sz w:val="22"/>
                <w:szCs w:val="22"/>
                <w:lang w:val="fr-CH"/>
              </w:rPr>
              <w:t>en vertu du</w:t>
            </w:r>
            <w:r w:rsidR="009F14CC" w:rsidRPr="00506C71">
              <w:rPr>
                <w:sz w:val="22"/>
                <w:szCs w:val="22"/>
                <w:lang w:val="fr-CH"/>
              </w:rPr>
              <w:t xml:space="preserve">quel le canton peut adapter ou </w:t>
            </w:r>
            <w:r w:rsidR="00475D0D">
              <w:rPr>
                <w:sz w:val="22"/>
                <w:szCs w:val="22"/>
                <w:lang w:val="fr-CH"/>
              </w:rPr>
              <w:t>annuler</w:t>
            </w:r>
            <w:r w:rsidR="00475D0D" w:rsidRPr="00475D0D">
              <w:rPr>
                <w:sz w:val="22"/>
                <w:szCs w:val="22"/>
                <w:lang w:val="fr-CH"/>
              </w:rPr>
              <w:t xml:space="preserve"> </w:t>
            </w:r>
            <w:r w:rsidR="009F14CC" w:rsidRPr="00CF5076">
              <w:rPr>
                <w:sz w:val="22"/>
                <w:szCs w:val="22"/>
                <w:lang w:val="fr-CH"/>
              </w:rPr>
              <w:t xml:space="preserve">l’autorisation </w:t>
            </w:r>
            <w:r w:rsidR="00E635AF" w:rsidRPr="00CF5076">
              <w:rPr>
                <w:sz w:val="22"/>
                <w:szCs w:val="22"/>
                <w:lang w:val="fr-CH"/>
              </w:rPr>
              <w:t xml:space="preserve">visée à l’article 2, alinéa 1 OEJF </w:t>
            </w:r>
            <w:r w:rsidR="00847007" w:rsidRPr="00CF5076">
              <w:rPr>
                <w:sz w:val="22"/>
                <w:szCs w:val="22"/>
                <w:lang w:val="fr-CH"/>
              </w:rPr>
              <w:t xml:space="preserve">si </w:t>
            </w:r>
            <w:r w:rsidR="001852F5" w:rsidRPr="00CF5076">
              <w:rPr>
                <w:sz w:val="22"/>
                <w:szCs w:val="22"/>
                <w:lang w:val="fr-CH"/>
              </w:rPr>
              <w:t>s</w:t>
            </w:r>
            <w:r w:rsidR="00475D0D">
              <w:rPr>
                <w:sz w:val="22"/>
                <w:szCs w:val="22"/>
                <w:lang w:val="fr-CH"/>
              </w:rPr>
              <w:t>es moyens</w:t>
            </w:r>
            <w:r w:rsidR="00847007" w:rsidRPr="00CF5076">
              <w:rPr>
                <w:sz w:val="22"/>
                <w:szCs w:val="22"/>
                <w:lang w:val="fr-CH"/>
              </w:rPr>
              <w:t xml:space="preserve"> financi</w:t>
            </w:r>
            <w:r w:rsidR="00475D0D">
              <w:rPr>
                <w:sz w:val="22"/>
                <w:szCs w:val="22"/>
                <w:lang w:val="fr-CH"/>
              </w:rPr>
              <w:t xml:space="preserve">ers </w:t>
            </w:r>
            <w:r w:rsidR="00847007" w:rsidRPr="00CF5076">
              <w:rPr>
                <w:sz w:val="22"/>
                <w:szCs w:val="22"/>
                <w:lang w:val="fr-CH"/>
              </w:rPr>
              <w:t>l’exige</w:t>
            </w:r>
            <w:r w:rsidR="00475D0D">
              <w:rPr>
                <w:sz w:val="22"/>
                <w:szCs w:val="22"/>
                <w:lang w:val="fr-CH"/>
              </w:rPr>
              <w:t>nt</w:t>
            </w:r>
            <w:r w:rsidRPr="00CF5076">
              <w:rPr>
                <w:sz w:val="22"/>
                <w:szCs w:val="22"/>
                <w:lang w:val="fr-CH"/>
              </w:rPr>
              <w:t>.</w:t>
            </w:r>
          </w:p>
          <w:p w14:paraId="52C80293" w14:textId="77777777" w:rsidR="00B63A9E" w:rsidRPr="00506C71" w:rsidRDefault="00B63A9E" w:rsidP="00E635AF">
            <w:pPr>
              <w:rPr>
                <w:sz w:val="22"/>
                <w:szCs w:val="22"/>
                <w:lang w:val="fr-CH"/>
              </w:rPr>
            </w:pPr>
          </w:p>
          <w:p w14:paraId="31FADDAC" w14:textId="7ECB2201" w:rsidR="00B63A9E" w:rsidRPr="00506C71" w:rsidRDefault="00B63A9E" w:rsidP="00E635AF">
            <w:pPr>
              <w:rPr>
                <w:sz w:val="22"/>
                <w:szCs w:val="22"/>
                <w:u w:val="single"/>
                <w:lang w:val="fr-CH"/>
              </w:rPr>
            </w:pPr>
            <w:r w:rsidRPr="00506C71">
              <w:rPr>
                <w:sz w:val="22"/>
                <w:szCs w:val="22"/>
                <w:u w:val="single"/>
                <w:lang w:val="fr-CH"/>
              </w:rPr>
              <w:t>Option</w:t>
            </w:r>
            <w:r w:rsidR="00E66169" w:rsidRPr="00506C71">
              <w:rPr>
                <w:sz w:val="22"/>
                <w:szCs w:val="22"/>
                <w:u w:val="single"/>
                <w:lang w:val="fr-CH"/>
              </w:rPr>
              <w:t> </w:t>
            </w:r>
            <w:r w:rsidRPr="00506C71">
              <w:rPr>
                <w:sz w:val="22"/>
                <w:szCs w:val="22"/>
                <w:u w:val="single"/>
                <w:lang w:val="fr-CH"/>
              </w:rPr>
              <w:t>2</w:t>
            </w:r>
          </w:p>
          <w:p w14:paraId="0DAF5C44" w14:textId="35293D68" w:rsidR="00B63A9E" w:rsidRPr="00EB3359" w:rsidRDefault="00B63A9E" w:rsidP="00EB3359">
            <w:pPr>
              <w:rPr>
                <w:sz w:val="22"/>
                <w:szCs w:val="22"/>
                <w:lang w:val="fr-CH"/>
              </w:rPr>
            </w:pPr>
            <w:r w:rsidRPr="009C63EC">
              <w:rPr>
                <w:b/>
                <w:sz w:val="22"/>
                <w:szCs w:val="22"/>
                <w:lang w:val="fr-CH"/>
              </w:rPr>
              <w:t>Art. 5</w:t>
            </w:r>
            <w:r w:rsidRPr="009C63EC">
              <w:rPr>
                <w:sz w:val="22"/>
                <w:szCs w:val="22"/>
                <w:lang w:val="fr-CH"/>
              </w:rPr>
              <w:t xml:space="preserve"> </w:t>
            </w:r>
            <w:r w:rsidRPr="009C63EC">
              <w:rPr>
                <w:sz w:val="22"/>
                <w:szCs w:val="22"/>
                <w:vertAlign w:val="superscript"/>
                <w:lang w:val="fr-CH"/>
              </w:rPr>
              <w:t xml:space="preserve">1 </w:t>
            </w:r>
            <w:r w:rsidRPr="00EB3359">
              <w:rPr>
                <w:sz w:val="22"/>
                <w:szCs w:val="22"/>
                <w:lang w:val="fr-CH"/>
              </w:rPr>
              <w:t xml:space="preserve">Les </w:t>
            </w:r>
            <w:r w:rsidR="00C53356" w:rsidRPr="00EB3359">
              <w:rPr>
                <w:sz w:val="22"/>
                <w:szCs w:val="22"/>
                <w:lang w:val="fr-CH"/>
              </w:rPr>
              <w:t>personnes</w:t>
            </w:r>
            <w:r w:rsidR="00C53356">
              <w:rPr>
                <w:sz w:val="22"/>
                <w:szCs w:val="22"/>
                <w:lang w:val="fr-CH"/>
              </w:rPr>
              <w:t xml:space="preserve"> détenant l’autorité parentale</w:t>
            </w:r>
            <w:r w:rsidRPr="00EB3359">
              <w:rPr>
                <w:sz w:val="22"/>
                <w:szCs w:val="22"/>
                <w:lang w:val="fr-CH"/>
              </w:rPr>
              <w:t xml:space="preserve"> n’ont pas droit à </w:t>
            </w:r>
            <w:r w:rsidRPr="004333F9">
              <w:rPr>
                <w:sz w:val="22"/>
                <w:szCs w:val="22"/>
                <w:lang w:val="fr-CH"/>
              </w:rPr>
              <w:t xml:space="preserve">des bons de garde, </w:t>
            </w:r>
            <w:r w:rsidRPr="00475D0D">
              <w:rPr>
                <w:sz w:val="22"/>
                <w:szCs w:val="22"/>
                <w:lang w:val="fr-CH"/>
              </w:rPr>
              <w:t>ni à une place dans une structure d’accueil extrafamilial</w:t>
            </w:r>
            <w:r w:rsidRPr="009C63EC">
              <w:rPr>
                <w:sz w:val="22"/>
                <w:szCs w:val="22"/>
                <w:lang w:val="fr-CH"/>
              </w:rPr>
              <w:t>.</w:t>
            </w:r>
          </w:p>
        </w:tc>
      </w:tr>
      <w:tr w:rsidR="00686AF4" w:rsidRPr="00B8595A" w14:paraId="26CA7BB0" w14:textId="77777777" w:rsidTr="005C4236">
        <w:tc>
          <w:tcPr>
            <w:tcW w:w="2093" w:type="dxa"/>
          </w:tcPr>
          <w:p w14:paraId="31CC46E7" w14:textId="77777777" w:rsidR="00686AF4" w:rsidRPr="00EB3359" w:rsidRDefault="00686AF4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04C8CF6F" w14:textId="77777777" w:rsidR="00686AF4" w:rsidRPr="00EB3359" w:rsidRDefault="00686AF4">
            <w:pPr>
              <w:rPr>
                <w:sz w:val="22"/>
                <w:szCs w:val="22"/>
                <w:lang w:val="fr-CH"/>
              </w:rPr>
            </w:pPr>
          </w:p>
        </w:tc>
      </w:tr>
      <w:tr w:rsidR="00686AF4" w:rsidRPr="00B8595A" w14:paraId="0DC175B4" w14:textId="77777777" w:rsidTr="005C4236">
        <w:tc>
          <w:tcPr>
            <w:tcW w:w="2093" w:type="dxa"/>
          </w:tcPr>
          <w:p w14:paraId="40F7E8C7" w14:textId="4ABCDD3B" w:rsidR="00686AF4" w:rsidRPr="004333F9" w:rsidRDefault="00F35A1F" w:rsidP="009F3A7D">
            <w:pPr>
              <w:rPr>
                <w:sz w:val="18"/>
                <w:szCs w:val="18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 xml:space="preserve">Limitation en fonction des moyens à disposition </w:t>
            </w:r>
            <w:r w:rsidR="003C0469" w:rsidRPr="00EB3359">
              <w:rPr>
                <w:sz w:val="18"/>
                <w:szCs w:val="18"/>
                <w:lang w:val="fr-CH"/>
              </w:rPr>
              <w:t>(</w:t>
            </w:r>
            <w:r w:rsidRPr="004333F9">
              <w:rPr>
                <w:sz w:val="18"/>
                <w:szCs w:val="18"/>
                <w:lang w:val="fr-CH"/>
              </w:rPr>
              <w:t>contingent</w:t>
            </w:r>
            <w:r w:rsidR="009F3A7D" w:rsidRPr="004333F9">
              <w:rPr>
                <w:sz w:val="18"/>
                <w:szCs w:val="18"/>
                <w:lang w:val="fr-CH"/>
              </w:rPr>
              <w:t>ement</w:t>
            </w:r>
            <w:r w:rsidR="006F00CB" w:rsidRPr="004333F9"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7195" w:type="dxa"/>
          </w:tcPr>
          <w:p w14:paraId="6ECE3C1E" w14:textId="0F9AFE98" w:rsidR="00686AF4" w:rsidRPr="00EB3359" w:rsidRDefault="00686AF4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506C71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AD26BF" w:rsidRPr="00506C71">
              <w:rPr>
                <w:b/>
                <w:sz w:val="22"/>
                <w:szCs w:val="22"/>
                <w:lang w:val="fr-CH"/>
              </w:rPr>
              <w:t>6</w:t>
            </w:r>
            <w:r w:rsidRPr="00506C71">
              <w:rPr>
                <w:sz w:val="22"/>
                <w:szCs w:val="22"/>
                <w:lang w:val="fr-CH"/>
              </w:rPr>
              <w:t xml:space="preserve"> </w:t>
            </w:r>
            <w:r w:rsidR="00385EAC" w:rsidRPr="00506C71">
              <w:rPr>
                <w:sz w:val="22"/>
                <w:szCs w:val="22"/>
                <w:vertAlign w:val="superscript"/>
                <w:lang w:val="fr-CH"/>
              </w:rPr>
              <w:t xml:space="preserve">1 </w:t>
            </w:r>
            <w:r w:rsidR="00F35A1F" w:rsidRPr="00506C71">
              <w:rPr>
                <w:sz w:val="22"/>
                <w:szCs w:val="22"/>
                <w:lang w:val="fr-CH"/>
              </w:rPr>
              <w:t>La commune peut</w:t>
            </w:r>
            <w:r w:rsidRPr="00506C71">
              <w:rPr>
                <w:sz w:val="22"/>
                <w:szCs w:val="22"/>
                <w:lang w:val="fr-CH"/>
              </w:rPr>
              <w:t xml:space="preserve"> </w:t>
            </w:r>
            <w:r w:rsidR="00F35A1F" w:rsidRPr="00506C71">
              <w:rPr>
                <w:sz w:val="22"/>
                <w:szCs w:val="22"/>
                <w:lang w:val="fr-CH"/>
              </w:rPr>
              <w:t xml:space="preserve">limiter </w:t>
            </w:r>
            <w:r w:rsidR="009969DA" w:rsidRPr="00506C71">
              <w:rPr>
                <w:sz w:val="22"/>
                <w:szCs w:val="22"/>
                <w:lang w:val="fr-CH"/>
              </w:rPr>
              <w:t>l’émission d</w:t>
            </w:r>
            <w:r w:rsidR="00F35A1F" w:rsidRPr="00506C71">
              <w:rPr>
                <w:sz w:val="22"/>
                <w:szCs w:val="22"/>
                <w:lang w:val="fr-CH"/>
              </w:rPr>
              <w:t>es bons de garde</w:t>
            </w:r>
            <w:r w:rsidR="0062611E" w:rsidRPr="00EB3359">
              <w:rPr>
                <w:rStyle w:val="Funotenzeichen"/>
                <w:sz w:val="18"/>
                <w:szCs w:val="18"/>
                <w:lang w:val="fr-CH"/>
              </w:rPr>
              <w:footnoteReference w:id="5"/>
            </w:r>
            <w:r w:rsidR="00974AFC" w:rsidRPr="00EB3359">
              <w:rPr>
                <w:sz w:val="22"/>
                <w:szCs w:val="22"/>
                <w:lang w:val="fr-CH"/>
              </w:rPr>
              <w:t>.</w:t>
            </w:r>
          </w:p>
          <w:p w14:paraId="78E53F7C" w14:textId="0A258D4F" w:rsidR="00686AF4" w:rsidRPr="00506C71" w:rsidRDefault="00385EAC" w:rsidP="009969DA">
            <w:pPr>
              <w:rPr>
                <w:sz w:val="22"/>
                <w:szCs w:val="22"/>
                <w:lang w:val="fr-CH"/>
              </w:rPr>
            </w:pPr>
            <w:r w:rsidRPr="00EB3359">
              <w:rPr>
                <w:sz w:val="22"/>
                <w:szCs w:val="22"/>
                <w:vertAlign w:val="superscript"/>
                <w:lang w:val="fr-CH"/>
              </w:rPr>
              <w:t>2</w:t>
            </w:r>
            <w:r w:rsidRPr="004333F9">
              <w:rPr>
                <w:sz w:val="22"/>
                <w:szCs w:val="22"/>
                <w:lang w:val="fr-CH"/>
              </w:rPr>
              <w:t xml:space="preserve"> </w:t>
            </w:r>
            <w:r w:rsidR="00847007" w:rsidRPr="004333F9">
              <w:rPr>
                <w:sz w:val="22"/>
                <w:szCs w:val="22"/>
                <w:lang w:val="fr-CH"/>
              </w:rPr>
              <w:t xml:space="preserve">Le nombre de bons de garde est déterminé selon le </w:t>
            </w:r>
            <w:r w:rsidR="006200BF" w:rsidRPr="004333F9">
              <w:rPr>
                <w:sz w:val="22"/>
                <w:szCs w:val="22"/>
                <w:lang w:val="fr-CH"/>
              </w:rPr>
              <w:t>crédit</w:t>
            </w:r>
            <w:r w:rsidR="00847007" w:rsidRPr="00475D0D">
              <w:rPr>
                <w:sz w:val="22"/>
                <w:szCs w:val="22"/>
                <w:lang w:val="fr-CH"/>
              </w:rPr>
              <w:t xml:space="preserve"> alloué par l’organ</w:t>
            </w:r>
            <w:r w:rsidR="00847007" w:rsidRPr="00506C71">
              <w:rPr>
                <w:sz w:val="22"/>
                <w:szCs w:val="22"/>
                <w:lang w:val="fr-CH"/>
              </w:rPr>
              <w:t xml:space="preserve">e </w:t>
            </w:r>
            <w:r w:rsidR="001852F5" w:rsidRPr="00506C71">
              <w:rPr>
                <w:sz w:val="22"/>
                <w:szCs w:val="22"/>
                <w:lang w:val="fr-CH"/>
              </w:rPr>
              <w:t>compétent en matière de finances</w:t>
            </w:r>
            <w:r w:rsidR="00FE1AC2" w:rsidRPr="00506C71">
              <w:rPr>
                <w:sz w:val="22"/>
                <w:szCs w:val="22"/>
                <w:lang w:val="fr-CH"/>
              </w:rPr>
              <w:t>.</w:t>
            </w:r>
          </w:p>
        </w:tc>
      </w:tr>
      <w:tr w:rsidR="00E56ACC" w:rsidRPr="00B8595A" w14:paraId="5BCA57D8" w14:textId="77777777" w:rsidTr="005C4236">
        <w:tc>
          <w:tcPr>
            <w:tcW w:w="2093" w:type="dxa"/>
          </w:tcPr>
          <w:p w14:paraId="51CD4565" w14:textId="77777777" w:rsidR="00E56ACC" w:rsidRPr="00EB3359" w:rsidRDefault="00E56ACC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4AEC06B6" w14:textId="77777777" w:rsidR="00E56ACC" w:rsidRPr="00EB3359" w:rsidRDefault="00E56ACC">
            <w:pPr>
              <w:rPr>
                <w:sz w:val="22"/>
                <w:szCs w:val="22"/>
                <w:lang w:val="fr-CH"/>
              </w:rPr>
            </w:pPr>
          </w:p>
        </w:tc>
      </w:tr>
      <w:tr w:rsidR="00445DE1" w:rsidRPr="00B8595A" w14:paraId="1E50843A" w14:textId="77777777" w:rsidTr="00AF337D">
        <w:tc>
          <w:tcPr>
            <w:tcW w:w="2093" w:type="dxa"/>
            <w:shd w:val="clear" w:color="auto" w:fill="auto"/>
          </w:tcPr>
          <w:p w14:paraId="7C98F09A" w14:textId="77777777" w:rsidR="00445DE1" w:rsidRPr="00EB3359" w:rsidRDefault="001852F5" w:rsidP="006822FF">
            <w:pPr>
              <w:rPr>
                <w:sz w:val="18"/>
                <w:szCs w:val="18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>Documentation</w:t>
            </w:r>
          </w:p>
        </w:tc>
        <w:tc>
          <w:tcPr>
            <w:tcW w:w="7195" w:type="dxa"/>
            <w:shd w:val="clear" w:color="auto" w:fill="auto"/>
          </w:tcPr>
          <w:p w14:paraId="12533CCF" w14:textId="436A8BC6" w:rsidR="00445DE1" w:rsidRPr="00EB3359" w:rsidRDefault="00445DE1" w:rsidP="001852F5">
            <w:pPr>
              <w:rPr>
                <w:sz w:val="22"/>
                <w:szCs w:val="22"/>
                <w:lang w:val="fr-CH"/>
              </w:rPr>
            </w:pPr>
            <w:r w:rsidRPr="00EB3359">
              <w:rPr>
                <w:b/>
                <w:sz w:val="22"/>
                <w:szCs w:val="22"/>
                <w:lang w:val="fr-CH"/>
              </w:rPr>
              <w:t>Art. 7</w:t>
            </w:r>
            <w:r w:rsidR="00C479F7" w:rsidRPr="004333F9">
              <w:rPr>
                <w:sz w:val="22"/>
                <w:szCs w:val="22"/>
                <w:lang w:val="fr-CH"/>
              </w:rPr>
              <w:t xml:space="preserve"> La commune détermine quels documents sont nécessaires pour </w:t>
            </w:r>
            <w:r w:rsidR="001852F5" w:rsidRPr="00506C71">
              <w:rPr>
                <w:sz w:val="22"/>
                <w:szCs w:val="22"/>
                <w:lang w:val="fr-CH"/>
              </w:rPr>
              <w:t>l’émission de</w:t>
            </w:r>
            <w:r w:rsidR="00C479F7" w:rsidRPr="00506C71">
              <w:rPr>
                <w:sz w:val="22"/>
                <w:szCs w:val="22"/>
                <w:lang w:val="fr-CH"/>
              </w:rPr>
              <w:t xml:space="preserve"> bons de garde ou pour la </w:t>
            </w:r>
            <w:r w:rsidR="00A155DF" w:rsidRPr="00506C71">
              <w:rPr>
                <w:sz w:val="22"/>
                <w:szCs w:val="22"/>
                <w:lang w:val="fr-CH"/>
              </w:rPr>
              <w:t>garantie</w:t>
            </w:r>
            <w:r w:rsidR="00C479F7" w:rsidRPr="00506C71">
              <w:rPr>
                <w:sz w:val="22"/>
                <w:szCs w:val="22"/>
                <w:lang w:val="fr-CH"/>
              </w:rPr>
              <w:t xml:space="preserve"> d’octroi visée à l’article 8, alinéa </w:t>
            </w:r>
            <w:r w:rsidRPr="00506C71">
              <w:rPr>
                <w:sz w:val="22"/>
                <w:szCs w:val="22"/>
                <w:lang w:val="fr-CH"/>
              </w:rPr>
              <w:t>2</w:t>
            </w:r>
            <w:r w:rsidRPr="00EB3359">
              <w:rPr>
                <w:rStyle w:val="Funotenzeichen"/>
                <w:sz w:val="22"/>
                <w:szCs w:val="22"/>
                <w:lang w:val="fr-CH"/>
              </w:rPr>
              <w:footnoteReference w:id="6"/>
            </w:r>
            <w:r w:rsidRPr="00EB3359">
              <w:rPr>
                <w:sz w:val="22"/>
                <w:szCs w:val="22"/>
                <w:lang w:val="fr-CH"/>
              </w:rPr>
              <w:t>.</w:t>
            </w:r>
          </w:p>
        </w:tc>
      </w:tr>
      <w:tr w:rsidR="00445DE1" w:rsidRPr="00B8595A" w14:paraId="383419C3" w14:textId="77777777" w:rsidTr="005C4236">
        <w:tc>
          <w:tcPr>
            <w:tcW w:w="2093" w:type="dxa"/>
          </w:tcPr>
          <w:p w14:paraId="11ED734C" w14:textId="77777777" w:rsidR="00445DE1" w:rsidRPr="00EB3359" w:rsidRDefault="00445DE1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5D6CF65C" w14:textId="77777777" w:rsidR="00445DE1" w:rsidRPr="00EB3359" w:rsidRDefault="00445DE1">
            <w:pPr>
              <w:rPr>
                <w:sz w:val="22"/>
                <w:szCs w:val="22"/>
                <w:lang w:val="fr-CH"/>
              </w:rPr>
            </w:pPr>
          </w:p>
        </w:tc>
      </w:tr>
      <w:tr w:rsidR="00F80E3A" w:rsidRPr="00B8595A" w14:paraId="4BF143F5" w14:textId="77777777" w:rsidTr="005C4236">
        <w:tc>
          <w:tcPr>
            <w:tcW w:w="2093" w:type="dxa"/>
          </w:tcPr>
          <w:p w14:paraId="41CD2EB9" w14:textId="29D88C51" w:rsidR="00F80E3A" w:rsidRPr="00EB3359" w:rsidRDefault="00F35A1F" w:rsidP="006822FF">
            <w:pPr>
              <w:rPr>
                <w:sz w:val="18"/>
                <w:szCs w:val="18"/>
                <w:highlight w:val="cyan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>Procédure</w:t>
            </w:r>
          </w:p>
        </w:tc>
        <w:tc>
          <w:tcPr>
            <w:tcW w:w="7195" w:type="dxa"/>
          </w:tcPr>
          <w:p w14:paraId="778643B9" w14:textId="7726842E" w:rsidR="00F80E3A" w:rsidRPr="00EB3359" w:rsidRDefault="005C4236">
            <w:pPr>
              <w:rPr>
                <w:sz w:val="22"/>
                <w:szCs w:val="22"/>
                <w:lang w:val="fr-CH"/>
              </w:rPr>
            </w:pPr>
            <w:r w:rsidRPr="00EB3359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445DE1" w:rsidRPr="004333F9">
              <w:rPr>
                <w:b/>
                <w:sz w:val="22"/>
                <w:szCs w:val="22"/>
                <w:lang w:val="fr-CH"/>
              </w:rPr>
              <w:t>8</w:t>
            </w:r>
            <w:r w:rsidR="00F80E3A" w:rsidRPr="004333F9">
              <w:rPr>
                <w:b/>
                <w:sz w:val="22"/>
                <w:szCs w:val="22"/>
                <w:lang w:val="fr-CH"/>
              </w:rPr>
              <w:t xml:space="preserve"> </w:t>
            </w:r>
            <w:r w:rsidR="001C0487" w:rsidRPr="004333F9">
              <w:rPr>
                <w:sz w:val="22"/>
                <w:szCs w:val="22"/>
                <w:vertAlign w:val="superscript"/>
                <w:lang w:val="fr-CH"/>
              </w:rPr>
              <w:t>1</w:t>
            </w:r>
            <w:r w:rsidR="001C0487" w:rsidRPr="009C63EC">
              <w:rPr>
                <w:sz w:val="22"/>
                <w:szCs w:val="22"/>
                <w:lang w:val="fr-CH"/>
              </w:rPr>
              <w:t xml:space="preserve"> </w:t>
            </w:r>
            <w:r w:rsidR="004528A3" w:rsidRPr="00475D0D">
              <w:rPr>
                <w:sz w:val="22"/>
                <w:szCs w:val="22"/>
                <w:lang w:val="fr-CH"/>
              </w:rPr>
              <w:t>L</w:t>
            </w:r>
            <w:r w:rsidR="00C479F7" w:rsidRPr="00475D0D">
              <w:rPr>
                <w:sz w:val="22"/>
                <w:szCs w:val="22"/>
                <w:lang w:val="fr-CH"/>
              </w:rPr>
              <w:t>a</w:t>
            </w:r>
            <w:r w:rsidR="00C479F7" w:rsidRPr="00CF5076">
              <w:rPr>
                <w:sz w:val="22"/>
                <w:szCs w:val="22"/>
                <w:lang w:val="fr-CH"/>
              </w:rPr>
              <w:t xml:space="preserve"> procédure suivante</w:t>
            </w:r>
            <w:r w:rsidR="004528A3" w:rsidRPr="00CF5076">
              <w:rPr>
                <w:sz w:val="22"/>
                <w:szCs w:val="22"/>
                <w:lang w:val="fr-CH"/>
              </w:rPr>
              <w:t xml:space="preserve"> s’applique en cas de limitation du nombre de bons</w:t>
            </w:r>
            <w:r w:rsidR="00C479F7" w:rsidRPr="00EB3359">
              <w:rPr>
                <w:rStyle w:val="Funotenzeichen"/>
                <w:sz w:val="22"/>
                <w:szCs w:val="22"/>
                <w:lang w:val="fr-CH"/>
              </w:rPr>
              <w:footnoteReference w:id="7"/>
            </w:r>
            <w:r w:rsidR="00C479F7" w:rsidRPr="00EB3359">
              <w:rPr>
                <w:sz w:val="22"/>
                <w:szCs w:val="22"/>
                <w:lang w:val="fr-CH"/>
              </w:rPr>
              <w:t> </w:t>
            </w:r>
            <w:r w:rsidR="00F80E3A" w:rsidRPr="00EB3359">
              <w:rPr>
                <w:sz w:val="22"/>
                <w:szCs w:val="22"/>
                <w:lang w:val="fr-CH"/>
              </w:rPr>
              <w:t>:</w:t>
            </w:r>
          </w:p>
          <w:p w14:paraId="74E10C36" w14:textId="7D1F4F38" w:rsidR="00F80E3A" w:rsidRPr="00EB3359" w:rsidRDefault="00457E71" w:rsidP="005C423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lang w:val="fr-CH"/>
              </w:rPr>
            </w:pPr>
            <w:r w:rsidRPr="00EB3359">
              <w:rPr>
                <w:sz w:val="22"/>
                <w:szCs w:val="22"/>
                <w:lang w:val="fr-CH"/>
              </w:rPr>
              <w:t>Dès le 1</w:t>
            </w:r>
            <w:r w:rsidRPr="00EB3359">
              <w:rPr>
                <w:sz w:val="22"/>
                <w:szCs w:val="22"/>
                <w:vertAlign w:val="superscript"/>
                <w:lang w:val="fr-CH"/>
              </w:rPr>
              <w:t>er</w:t>
            </w:r>
            <w:r w:rsidR="00D55AB8" w:rsidRPr="00EB3359">
              <w:rPr>
                <w:sz w:val="22"/>
                <w:szCs w:val="22"/>
                <w:lang w:val="fr-CH"/>
              </w:rPr>
              <w:t> </w:t>
            </w:r>
            <w:r w:rsidRPr="00EB3359">
              <w:rPr>
                <w:sz w:val="22"/>
                <w:szCs w:val="22"/>
                <w:lang w:val="fr-CH"/>
              </w:rPr>
              <w:t xml:space="preserve">janvier, </w:t>
            </w:r>
            <w:r w:rsidRPr="00CF5076">
              <w:rPr>
                <w:sz w:val="22"/>
                <w:szCs w:val="22"/>
                <w:lang w:val="fr-CH"/>
              </w:rPr>
              <w:t xml:space="preserve">les </w:t>
            </w:r>
            <w:r w:rsidR="00C53356" w:rsidRPr="00F33494">
              <w:rPr>
                <w:sz w:val="22"/>
                <w:szCs w:val="22"/>
                <w:lang w:val="fr-CH"/>
              </w:rPr>
              <w:t>personnes</w:t>
            </w:r>
            <w:r w:rsidR="00C53356">
              <w:rPr>
                <w:sz w:val="22"/>
                <w:szCs w:val="22"/>
                <w:lang w:val="fr-CH"/>
              </w:rPr>
              <w:t xml:space="preserve"> détenant l’autorité parentale</w:t>
            </w:r>
            <w:r w:rsidR="00C53356" w:rsidRPr="00EB3359">
              <w:rPr>
                <w:sz w:val="22"/>
                <w:szCs w:val="22"/>
                <w:lang w:val="fr-CH"/>
              </w:rPr>
              <w:t xml:space="preserve"> </w:t>
            </w:r>
            <w:r w:rsidRPr="00EB3359">
              <w:rPr>
                <w:sz w:val="22"/>
                <w:szCs w:val="22"/>
                <w:lang w:val="fr-CH"/>
              </w:rPr>
              <w:t>peuvent déposer une demande de bon</w:t>
            </w:r>
            <w:r w:rsidR="00E81E13" w:rsidRPr="00EB3359">
              <w:rPr>
                <w:sz w:val="22"/>
                <w:szCs w:val="22"/>
                <w:lang w:val="fr-CH"/>
              </w:rPr>
              <w:t>s</w:t>
            </w:r>
            <w:r w:rsidRPr="00EB3359">
              <w:rPr>
                <w:sz w:val="22"/>
                <w:szCs w:val="22"/>
                <w:lang w:val="fr-CH"/>
              </w:rPr>
              <w:t xml:space="preserve"> de garde</w:t>
            </w:r>
            <w:r w:rsidR="00E25248" w:rsidRPr="00EB3359">
              <w:rPr>
                <w:sz w:val="22"/>
                <w:szCs w:val="22"/>
                <w:lang w:val="fr-CH"/>
              </w:rPr>
              <w:t>,</w:t>
            </w:r>
            <w:r w:rsidRPr="00EB3359">
              <w:rPr>
                <w:sz w:val="22"/>
                <w:szCs w:val="22"/>
                <w:lang w:val="fr-CH"/>
              </w:rPr>
              <w:t xml:space="preserve"> qu’</w:t>
            </w:r>
            <w:r w:rsidR="00C53356">
              <w:rPr>
                <w:sz w:val="22"/>
                <w:szCs w:val="22"/>
                <w:lang w:val="fr-CH"/>
              </w:rPr>
              <w:t>el</w:t>
            </w:r>
            <w:r w:rsidRPr="00EB3359">
              <w:rPr>
                <w:sz w:val="22"/>
                <w:szCs w:val="22"/>
                <w:lang w:val="fr-CH"/>
              </w:rPr>
              <w:t>l</w:t>
            </w:r>
            <w:r w:rsidR="00C53356">
              <w:rPr>
                <w:sz w:val="22"/>
                <w:szCs w:val="22"/>
                <w:lang w:val="fr-CH"/>
              </w:rPr>
              <w:t>e</w:t>
            </w:r>
            <w:r w:rsidRPr="00EB3359">
              <w:rPr>
                <w:sz w:val="22"/>
                <w:szCs w:val="22"/>
                <w:lang w:val="fr-CH"/>
              </w:rPr>
              <w:t>s pourront faire valoir à compter du 1</w:t>
            </w:r>
            <w:r w:rsidRPr="00EB3359">
              <w:rPr>
                <w:sz w:val="22"/>
                <w:szCs w:val="22"/>
                <w:vertAlign w:val="superscript"/>
                <w:lang w:val="fr-CH"/>
              </w:rPr>
              <w:t>er</w:t>
            </w:r>
            <w:r w:rsidR="00D55AB8" w:rsidRPr="00EB3359">
              <w:rPr>
                <w:sz w:val="22"/>
                <w:szCs w:val="22"/>
                <w:lang w:val="fr-CH"/>
              </w:rPr>
              <w:t> </w:t>
            </w:r>
            <w:r w:rsidRPr="00EB3359">
              <w:rPr>
                <w:sz w:val="22"/>
                <w:szCs w:val="22"/>
                <w:lang w:val="fr-CH"/>
              </w:rPr>
              <w:t>août</w:t>
            </w:r>
            <w:r w:rsidR="00F80E3A" w:rsidRPr="00EB3359">
              <w:rPr>
                <w:sz w:val="22"/>
                <w:szCs w:val="22"/>
                <w:lang w:val="fr-CH"/>
              </w:rPr>
              <w:t>.</w:t>
            </w:r>
          </w:p>
          <w:p w14:paraId="789E6521" w14:textId="6BEED8DC" w:rsidR="001C0487" w:rsidRPr="00506C71" w:rsidRDefault="00974AFC" w:rsidP="005C423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lang w:val="fr-CH"/>
              </w:rPr>
            </w:pPr>
            <w:r w:rsidRPr="00EB3359">
              <w:rPr>
                <w:sz w:val="22"/>
                <w:szCs w:val="22"/>
                <w:lang w:val="fr-CH"/>
              </w:rPr>
              <w:t>A la mi-février, la</w:t>
            </w:r>
            <w:r w:rsidR="00457E71" w:rsidRPr="004333F9">
              <w:rPr>
                <w:sz w:val="22"/>
                <w:szCs w:val="22"/>
                <w:lang w:val="fr-CH"/>
              </w:rPr>
              <w:t xml:space="preserve"> commune </w:t>
            </w:r>
            <w:r w:rsidR="009969DA" w:rsidRPr="004333F9">
              <w:rPr>
                <w:sz w:val="22"/>
                <w:szCs w:val="22"/>
                <w:lang w:val="fr-CH"/>
              </w:rPr>
              <w:t>émet</w:t>
            </w:r>
            <w:r w:rsidR="009969DA" w:rsidRPr="00475D0D">
              <w:rPr>
                <w:sz w:val="22"/>
                <w:szCs w:val="22"/>
                <w:lang w:val="fr-CH"/>
              </w:rPr>
              <w:t xml:space="preserve"> </w:t>
            </w:r>
            <w:r w:rsidR="00457E71" w:rsidRPr="00475D0D">
              <w:rPr>
                <w:sz w:val="22"/>
                <w:szCs w:val="22"/>
                <w:lang w:val="fr-CH"/>
              </w:rPr>
              <w:t>les bons</w:t>
            </w:r>
            <w:r w:rsidRPr="00CF5076">
              <w:rPr>
                <w:sz w:val="22"/>
                <w:szCs w:val="22"/>
                <w:lang w:val="fr-CH"/>
              </w:rPr>
              <w:t xml:space="preserve"> ou </w:t>
            </w:r>
            <w:r w:rsidR="00A155DF" w:rsidRPr="00CF5076">
              <w:rPr>
                <w:sz w:val="22"/>
                <w:szCs w:val="22"/>
                <w:lang w:val="fr-CH"/>
              </w:rPr>
              <w:t>accorde</w:t>
            </w:r>
            <w:r w:rsidRPr="00CF5076">
              <w:rPr>
                <w:sz w:val="22"/>
                <w:szCs w:val="22"/>
                <w:lang w:val="fr-CH"/>
              </w:rPr>
              <w:t xml:space="preserve"> des </w:t>
            </w:r>
            <w:r w:rsidR="00A155DF" w:rsidRPr="00506C71">
              <w:rPr>
                <w:sz w:val="22"/>
                <w:szCs w:val="22"/>
                <w:lang w:val="fr-CH"/>
              </w:rPr>
              <w:t>garanties</w:t>
            </w:r>
            <w:r w:rsidRPr="00506C71">
              <w:rPr>
                <w:sz w:val="22"/>
                <w:szCs w:val="22"/>
                <w:lang w:val="fr-CH"/>
              </w:rPr>
              <w:t xml:space="preserve"> d’octroi</w:t>
            </w:r>
            <w:r w:rsidR="00457E71" w:rsidRPr="00506C71">
              <w:rPr>
                <w:sz w:val="22"/>
                <w:szCs w:val="22"/>
                <w:lang w:val="fr-CH"/>
              </w:rPr>
              <w:t xml:space="preserve"> </w:t>
            </w:r>
            <w:r w:rsidR="00E45C64" w:rsidRPr="00506C71">
              <w:rPr>
                <w:sz w:val="22"/>
                <w:szCs w:val="22"/>
                <w:lang w:val="fr-CH"/>
              </w:rPr>
              <w:t>conformément à</w:t>
            </w:r>
            <w:r w:rsidRPr="00506C71">
              <w:rPr>
                <w:sz w:val="22"/>
                <w:szCs w:val="22"/>
                <w:lang w:val="fr-CH"/>
              </w:rPr>
              <w:t xml:space="preserve"> l’alinéa</w:t>
            </w:r>
            <w:r w:rsidR="00D55AB8" w:rsidRPr="00506C71">
              <w:rPr>
                <w:sz w:val="22"/>
                <w:szCs w:val="22"/>
                <w:lang w:val="fr-CH"/>
              </w:rPr>
              <w:t> </w:t>
            </w:r>
            <w:r w:rsidRPr="00506C71">
              <w:rPr>
                <w:sz w:val="22"/>
                <w:szCs w:val="22"/>
                <w:lang w:val="fr-CH"/>
              </w:rPr>
              <w:t>2</w:t>
            </w:r>
            <w:r w:rsidR="00521306" w:rsidRPr="00506C71">
              <w:rPr>
                <w:sz w:val="22"/>
                <w:szCs w:val="22"/>
                <w:lang w:val="fr-CH"/>
              </w:rPr>
              <w:t xml:space="preserve"> et </w:t>
            </w:r>
            <w:r w:rsidR="008E5FCE" w:rsidRPr="00506C71">
              <w:rPr>
                <w:sz w:val="22"/>
                <w:szCs w:val="22"/>
                <w:lang w:val="fr-CH"/>
              </w:rPr>
              <w:t>compte tenu</w:t>
            </w:r>
            <w:r w:rsidR="00521306" w:rsidRPr="00506C71">
              <w:rPr>
                <w:sz w:val="22"/>
                <w:szCs w:val="22"/>
                <w:lang w:val="fr-CH"/>
              </w:rPr>
              <w:t xml:space="preserve"> de l’article 9.</w:t>
            </w:r>
          </w:p>
          <w:p w14:paraId="6F9AAA62" w14:textId="6A38AC1F" w:rsidR="001C0487" w:rsidRPr="00506C71" w:rsidRDefault="00974AFC" w:rsidP="005C423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lang w:val="fr-CH"/>
              </w:rPr>
              <w:t xml:space="preserve">Si la demande en bons de garde </w:t>
            </w:r>
            <w:r w:rsidR="00C426AD" w:rsidRPr="00506C71">
              <w:rPr>
                <w:sz w:val="22"/>
                <w:szCs w:val="22"/>
                <w:lang w:val="fr-CH"/>
              </w:rPr>
              <w:t xml:space="preserve">est supérieure </w:t>
            </w:r>
            <w:r w:rsidR="001852F5" w:rsidRPr="00506C71">
              <w:rPr>
                <w:sz w:val="22"/>
                <w:szCs w:val="22"/>
                <w:lang w:val="fr-CH"/>
              </w:rPr>
              <w:t xml:space="preserve">au crédit alloué, la commune </w:t>
            </w:r>
            <w:r w:rsidRPr="00506C71">
              <w:rPr>
                <w:sz w:val="22"/>
                <w:szCs w:val="22"/>
                <w:lang w:val="fr-CH"/>
              </w:rPr>
              <w:t>fixe</w:t>
            </w:r>
            <w:r w:rsidR="00A155DF" w:rsidRPr="00506C71">
              <w:rPr>
                <w:sz w:val="22"/>
                <w:szCs w:val="22"/>
                <w:lang w:val="fr-CH"/>
              </w:rPr>
              <w:t xml:space="preserve"> un ordre de</w:t>
            </w:r>
            <w:r w:rsidRPr="00506C71">
              <w:rPr>
                <w:sz w:val="22"/>
                <w:szCs w:val="22"/>
                <w:lang w:val="fr-CH"/>
              </w:rPr>
              <w:t xml:space="preserve"> priorité, conformément à l’article</w:t>
            </w:r>
            <w:r w:rsidR="00D55AB8" w:rsidRPr="00506C71">
              <w:rPr>
                <w:sz w:val="22"/>
                <w:szCs w:val="22"/>
                <w:lang w:val="fr-CH"/>
              </w:rPr>
              <w:t> </w:t>
            </w:r>
            <w:r w:rsidRPr="00506C71">
              <w:rPr>
                <w:sz w:val="22"/>
                <w:szCs w:val="22"/>
                <w:lang w:val="fr-CH"/>
              </w:rPr>
              <w:t>9.</w:t>
            </w:r>
          </w:p>
          <w:p w14:paraId="1B875423" w14:textId="77777777" w:rsidR="00F80E3A" w:rsidRPr="00506C71" w:rsidRDefault="00974AFC" w:rsidP="005C4236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lang w:val="fr-CH"/>
              </w:rPr>
              <w:t>Les personnes qui ne reçoivent pas de bons ou qui ne sont pas sûres d’en bénéficier en raison des priorités fixées peuvent s’inscrire sur la liste d’attente.</w:t>
            </w:r>
          </w:p>
          <w:p w14:paraId="4BFB10C9" w14:textId="2080A3E8" w:rsidR="001C0487" w:rsidRPr="00506C71" w:rsidRDefault="00556051" w:rsidP="00345864">
            <w:pPr>
              <w:pStyle w:val="Listenabsatz"/>
              <w:numPr>
                <w:ilvl w:val="0"/>
                <w:numId w:val="5"/>
              </w:numPr>
              <w:spacing w:after="240"/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lang w:val="fr-CH"/>
              </w:rPr>
              <w:t xml:space="preserve">Les bons de garde </w:t>
            </w:r>
            <w:r w:rsidR="001852F5" w:rsidRPr="00506C71">
              <w:rPr>
                <w:sz w:val="22"/>
                <w:szCs w:val="22"/>
                <w:lang w:val="fr-CH"/>
              </w:rPr>
              <w:t>sont remis</w:t>
            </w:r>
            <w:r w:rsidRPr="00506C71">
              <w:rPr>
                <w:sz w:val="22"/>
                <w:szCs w:val="22"/>
                <w:lang w:val="fr-CH"/>
              </w:rPr>
              <w:t xml:space="preserve"> à partir du 1</w:t>
            </w:r>
            <w:r w:rsidRPr="00506C71">
              <w:rPr>
                <w:sz w:val="22"/>
                <w:szCs w:val="22"/>
                <w:vertAlign w:val="superscript"/>
                <w:lang w:val="fr-CH"/>
              </w:rPr>
              <w:t>er</w:t>
            </w:r>
            <w:r w:rsidR="00D55AB8" w:rsidRPr="00506C71">
              <w:rPr>
                <w:sz w:val="22"/>
                <w:szCs w:val="22"/>
                <w:lang w:val="fr-CH"/>
              </w:rPr>
              <w:t> </w:t>
            </w:r>
            <w:r w:rsidR="00521306" w:rsidRPr="00506C71">
              <w:rPr>
                <w:sz w:val="22"/>
                <w:szCs w:val="22"/>
                <w:lang w:val="fr-CH"/>
              </w:rPr>
              <w:t>juin</w:t>
            </w:r>
            <w:r w:rsidRPr="00506C71">
              <w:rPr>
                <w:sz w:val="22"/>
                <w:szCs w:val="22"/>
                <w:lang w:val="fr-CH"/>
              </w:rPr>
              <w:t xml:space="preserve"> dans l’ordre de dépôt des demandes</w:t>
            </w:r>
            <w:r w:rsidR="00E81E13" w:rsidRPr="00506C71">
              <w:rPr>
                <w:sz w:val="22"/>
                <w:szCs w:val="22"/>
                <w:lang w:val="fr-CH"/>
              </w:rPr>
              <w:t>,</w:t>
            </w:r>
            <w:r w:rsidRPr="00506C71">
              <w:rPr>
                <w:sz w:val="22"/>
                <w:szCs w:val="22"/>
                <w:lang w:val="fr-CH"/>
              </w:rPr>
              <w:t xml:space="preserve"> </w:t>
            </w:r>
            <w:r w:rsidR="001852F5" w:rsidRPr="00506C71">
              <w:rPr>
                <w:sz w:val="22"/>
                <w:szCs w:val="22"/>
                <w:lang w:val="fr-CH"/>
              </w:rPr>
              <w:t>dans les limites du crédit alloué</w:t>
            </w:r>
            <w:r w:rsidRPr="00506C71">
              <w:rPr>
                <w:sz w:val="22"/>
                <w:szCs w:val="22"/>
                <w:lang w:val="fr-CH"/>
              </w:rPr>
              <w:t>.</w:t>
            </w:r>
          </w:p>
          <w:p w14:paraId="79BFBE37" w14:textId="30A00234" w:rsidR="001C0487" w:rsidRPr="00F33494" w:rsidRDefault="001C0487" w:rsidP="001852F5">
            <w:p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vertAlign w:val="superscript"/>
                <w:lang w:val="fr-CH"/>
              </w:rPr>
              <w:t>2</w:t>
            </w:r>
            <w:r w:rsidRPr="00506C71">
              <w:rPr>
                <w:sz w:val="22"/>
                <w:szCs w:val="22"/>
                <w:lang w:val="fr-CH"/>
              </w:rPr>
              <w:t xml:space="preserve"> </w:t>
            </w:r>
            <w:r w:rsidR="001852F5" w:rsidRPr="00506C71">
              <w:rPr>
                <w:sz w:val="22"/>
                <w:szCs w:val="22"/>
                <w:lang w:val="fr-CH"/>
              </w:rPr>
              <w:t>L</w:t>
            </w:r>
            <w:r w:rsidR="00E45C64" w:rsidRPr="00506C71">
              <w:rPr>
                <w:sz w:val="22"/>
                <w:szCs w:val="22"/>
                <w:lang w:val="fr-CH"/>
              </w:rPr>
              <w:t xml:space="preserve">es personnes qui n’ont pas </w:t>
            </w:r>
            <w:r w:rsidR="001852F5" w:rsidRPr="00506C71">
              <w:rPr>
                <w:sz w:val="22"/>
                <w:szCs w:val="22"/>
                <w:lang w:val="fr-CH"/>
              </w:rPr>
              <w:t>trouvé</w:t>
            </w:r>
            <w:r w:rsidR="00E45C64" w:rsidRPr="00506C71">
              <w:rPr>
                <w:sz w:val="22"/>
                <w:szCs w:val="22"/>
                <w:lang w:val="fr-CH"/>
              </w:rPr>
              <w:t xml:space="preserve"> de place </w:t>
            </w:r>
            <w:r w:rsidR="001852F5" w:rsidRPr="00506C71">
              <w:rPr>
                <w:sz w:val="22"/>
                <w:szCs w:val="22"/>
                <w:lang w:val="fr-CH"/>
              </w:rPr>
              <w:t xml:space="preserve">d’accueil extrafamilial </w:t>
            </w:r>
            <w:r w:rsidR="00E45C64" w:rsidRPr="00506C71">
              <w:rPr>
                <w:sz w:val="22"/>
                <w:szCs w:val="22"/>
                <w:lang w:val="fr-CH"/>
              </w:rPr>
              <w:t xml:space="preserve">peuvent demander à la commune une </w:t>
            </w:r>
            <w:r w:rsidR="00A155DF" w:rsidRPr="00506C71">
              <w:rPr>
                <w:sz w:val="22"/>
                <w:szCs w:val="22"/>
                <w:lang w:val="fr-CH"/>
              </w:rPr>
              <w:t>garantie</w:t>
            </w:r>
            <w:r w:rsidR="00E45C64" w:rsidRPr="00506C71">
              <w:rPr>
                <w:sz w:val="22"/>
                <w:szCs w:val="22"/>
                <w:lang w:val="fr-CH"/>
              </w:rPr>
              <w:t xml:space="preserve"> d’octroi de bons de garde </w:t>
            </w:r>
            <w:r w:rsidR="00A155DF" w:rsidRPr="00506C71">
              <w:rPr>
                <w:sz w:val="22"/>
                <w:szCs w:val="22"/>
                <w:lang w:val="fr-CH"/>
              </w:rPr>
              <w:t>valable jusqu’à fin mai</w:t>
            </w:r>
            <w:r w:rsidR="00F33494">
              <w:rPr>
                <w:sz w:val="22"/>
                <w:szCs w:val="22"/>
                <w:lang w:val="fr-CH"/>
              </w:rPr>
              <w:t xml:space="preserve"> dans le cadre de la procédure visée à l’alinéa 1</w:t>
            </w:r>
            <w:r w:rsidR="00A155DF" w:rsidRPr="00F33494">
              <w:rPr>
                <w:sz w:val="22"/>
                <w:szCs w:val="22"/>
                <w:lang w:val="fr-CH"/>
              </w:rPr>
              <w:t>.</w:t>
            </w:r>
          </w:p>
        </w:tc>
      </w:tr>
      <w:tr w:rsidR="00686AF4" w:rsidRPr="00B8595A" w14:paraId="2C0057EA" w14:textId="77777777" w:rsidTr="005C4236">
        <w:tc>
          <w:tcPr>
            <w:tcW w:w="2093" w:type="dxa"/>
          </w:tcPr>
          <w:p w14:paraId="01C8F123" w14:textId="77777777" w:rsidR="00686AF4" w:rsidRPr="00EB3359" w:rsidRDefault="00686AF4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14D78B1B" w14:textId="77777777" w:rsidR="00686AF4" w:rsidRPr="004333F9" w:rsidRDefault="00686AF4">
            <w:pPr>
              <w:rPr>
                <w:sz w:val="22"/>
                <w:szCs w:val="22"/>
                <w:lang w:val="fr-CH"/>
              </w:rPr>
            </w:pPr>
          </w:p>
        </w:tc>
      </w:tr>
      <w:tr w:rsidR="00686AF4" w:rsidRPr="00B8595A" w14:paraId="1328B4B8" w14:textId="77777777" w:rsidTr="005C4236">
        <w:tc>
          <w:tcPr>
            <w:tcW w:w="2093" w:type="dxa"/>
          </w:tcPr>
          <w:p w14:paraId="243972F8" w14:textId="18229795" w:rsidR="00686AF4" w:rsidRPr="00EB3359" w:rsidRDefault="00A155DF" w:rsidP="006822FF">
            <w:pPr>
              <w:rPr>
                <w:sz w:val="18"/>
                <w:szCs w:val="18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>Ordre de p</w:t>
            </w:r>
            <w:r w:rsidR="00974AFC" w:rsidRPr="00EB3359">
              <w:rPr>
                <w:sz w:val="18"/>
                <w:szCs w:val="18"/>
                <w:lang w:val="fr-CH"/>
              </w:rPr>
              <w:t>riorité</w:t>
            </w:r>
          </w:p>
        </w:tc>
        <w:tc>
          <w:tcPr>
            <w:tcW w:w="7195" w:type="dxa"/>
          </w:tcPr>
          <w:p w14:paraId="4AFC4818" w14:textId="77777777" w:rsidR="00686AF4" w:rsidRPr="002745A3" w:rsidRDefault="00385EAC">
            <w:pPr>
              <w:rPr>
                <w:sz w:val="22"/>
                <w:szCs w:val="22"/>
                <w:lang w:val="fr-CH"/>
              </w:rPr>
            </w:pPr>
            <w:r w:rsidRPr="004333F9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445DE1" w:rsidRPr="004333F9">
              <w:rPr>
                <w:b/>
                <w:sz w:val="22"/>
                <w:szCs w:val="22"/>
                <w:lang w:val="fr-CH"/>
              </w:rPr>
              <w:t>9</w:t>
            </w:r>
            <w:r w:rsidRPr="004333F9">
              <w:rPr>
                <w:sz w:val="22"/>
                <w:szCs w:val="22"/>
                <w:lang w:val="fr-CH"/>
              </w:rPr>
              <w:t xml:space="preserve"> </w:t>
            </w:r>
            <w:r w:rsidR="00C426AD" w:rsidRPr="00475D0D">
              <w:rPr>
                <w:sz w:val="22"/>
                <w:szCs w:val="22"/>
                <w:lang w:val="fr-CH"/>
              </w:rPr>
              <w:t xml:space="preserve">Si la demande en bons de garde dépasse </w:t>
            </w:r>
            <w:r w:rsidR="00915240" w:rsidRPr="00CF5076">
              <w:rPr>
                <w:sz w:val="22"/>
                <w:szCs w:val="22"/>
                <w:lang w:val="fr-CH"/>
              </w:rPr>
              <w:t>le crédit alloué</w:t>
            </w:r>
            <w:r w:rsidR="000601B3" w:rsidRPr="00CF5076">
              <w:rPr>
                <w:sz w:val="22"/>
                <w:szCs w:val="22"/>
                <w:lang w:val="fr-CH"/>
              </w:rPr>
              <w:t xml:space="preserve">, </w:t>
            </w:r>
            <w:r w:rsidR="00C426AD" w:rsidRPr="00F33494">
              <w:rPr>
                <w:sz w:val="22"/>
                <w:szCs w:val="22"/>
                <w:lang w:val="fr-CH"/>
              </w:rPr>
              <w:t xml:space="preserve">l’ordre de </w:t>
            </w:r>
            <w:r w:rsidR="00C426AD" w:rsidRPr="002745A3">
              <w:rPr>
                <w:sz w:val="22"/>
                <w:szCs w:val="22"/>
                <w:lang w:val="fr-CH"/>
              </w:rPr>
              <w:t>priorité est le suivant </w:t>
            </w:r>
            <w:r w:rsidR="000601B3" w:rsidRPr="002745A3">
              <w:rPr>
                <w:sz w:val="22"/>
                <w:szCs w:val="22"/>
                <w:lang w:val="fr-CH"/>
              </w:rPr>
              <w:t>:</w:t>
            </w:r>
          </w:p>
          <w:p w14:paraId="4B669CCE" w14:textId="656C9724" w:rsidR="000601B3" w:rsidRPr="002745A3" w:rsidRDefault="00B92557" w:rsidP="00EA4AA1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 w:rsidRPr="002745A3">
              <w:rPr>
                <w:sz w:val="22"/>
                <w:szCs w:val="22"/>
                <w:lang w:val="fr-CH"/>
              </w:rPr>
              <w:t>priorité n</w:t>
            </w:r>
            <w:r w:rsidRPr="002745A3">
              <w:rPr>
                <w:sz w:val="22"/>
                <w:szCs w:val="22"/>
                <w:vertAlign w:val="superscript"/>
                <w:lang w:val="fr-CH"/>
              </w:rPr>
              <w:t>o</w:t>
            </w:r>
            <w:r w:rsidRPr="002745A3">
              <w:rPr>
                <w:sz w:val="22"/>
                <w:szCs w:val="22"/>
                <w:lang w:val="fr-CH"/>
              </w:rPr>
              <w:t xml:space="preserve">1 : </w:t>
            </w:r>
            <w:r w:rsidR="00C426AD" w:rsidRPr="002745A3">
              <w:rPr>
                <w:sz w:val="22"/>
                <w:szCs w:val="22"/>
                <w:lang w:val="fr-CH"/>
              </w:rPr>
              <w:t xml:space="preserve">enfants dont les </w:t>
            </w:r>
            <w:r w:rsidR="00EA4AA1" w:rsidRPr="002745A3">
              <w:rPr>
                <w:sz w:val="22"/>
                <w:szCs w:val="22"/>
                <w:lang w:val="fr-CH"/>
              </w:rPr>
              <w:t xml:space="preserve">personnes détenant l’autorité parentale </w:t>
            </w:r>
            <w:r w:rsidR="00C426AD" w:rsidRPr="002745A3">
              <w:rPr>
                <w:sz w:val="22"/>
                <w:szCs w:val="22"/>
                <w:lang w:val="fr-CH"/>
              </w:rPr>
              <w:t>doivent travailler pour assurer leur subsistance</w:t>
            </w:r>
            <w:r w:rsidR="00915240" w:rsidRPr="002745A3">
              <w:rPr>
                <w:sz w:val="22"/>
                <w:szCs w:val="22"/>
                <w:lang w:val="fr-CH"/>
              </w:rPr>
              <w:t>,</w:t>
            </w:r>
          </w:p>
          <w:p w14:paraId="3A9A6DBE" w14:textId="2E1FF0A7" w:rsidR="000601B3" w:rsidRPr="00506C71" w:rsidRDefault="00B92557" w:rsidP="00C426AD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 w:rsidRPr="002745A3">
              <w:rPr>
                <w:sz w:val="22"/>
                <w:szCs w:val="22"/>
                <w:lang w:val="fr-CH"/>
              </w:rPr>
              <w:t>priorité n</w:t>
            </w:r>
            <w:r w:rsidRPr="002745A3">
              <w:rPr>
                <w:sz w:val="22"/>
                <w:szCs w:val="22"/>
                <w:vertAlign w:val="superscript"/>
                <w:lang w:val="fr-CH"/>
              </w:rPr>
              <w:t>o</w:t>
            </w:r>
            <w:r w:rsidRPr="002745A3">
              <w:rPr>
                <w:sz w:val="22"/>
                <w:szCs w:val="22"/>
                <w:lang w:val="fr-CH"/>
              </w:rPr>
              <w:t xml:space="preserve">2 : </w:t>
            </w:r>
            <w:r w:rsidR="00C426AD" w:rsidRPr="002745A3">
              <w:rPr>
                <w:sz w:val="22"/>
                <w:szCs w:val="22"/>
                <w:lang w:val="fr-CH"/>
              </w:rPr>
              <w:t>enfants dont la situation familiale</w:t>
            </w:r>
            <w:r w:rsidR="00915240" w:rsidRPr="002745A3">
              <w:rPr>
                <w:sz w:val="22"/>
                <w:szCs w:val="22"/>
                <w:lang w:val="fr-CH"/>
              </w:rPr>
              <w:t xml:space="preserve"> et sociale</w:t>
            </w:r>
            <w:r w:rsidR="00C426AD" w:rsidRPr="002745A3">
              <w:rPr>
                <w:sz w:val="22"/>
                <w:szCs w:val="22"/>
                <w:lang w:val="fr-CH"/>
              </w:rPr>
              <w:t xml:space="preserve"> nécessite une prise en charge</w:t>
            </w:r>
            <w:r w:rsidR="00C426AD" w:rsidRPr="00475D0D">
              <w:rPr>
                <w:sz w:val="22"/>
                <w:szCs w:val="22"/>
                <w:lang w:val="fr-CH"/>
              </w:rPr>
              <w:t xml:space="preserve"> urgente</w:t>
            </w:r>
            <w:r w:rsidR="00915240" w:rsidRPr="00506C71">
              <w:rPr>
                <w:sz w:val="22"/>
                <w:szCs w:val="22"/>
                <w:lang w:val="fr-CH"/>
              </w:rPr>
              <w:t>,</w:t>
            </w:r>
          </w:p>
          <w:p w14:paraId="5170E2DF" w14:textId="26E3E153" w:rsidR="000601B3" w:rsidRPr="002745A3" w:rsidRDefault="00B92557" w:rsidP="00EA4AA1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lang w:val="fr-CH"/>
              </w:rPr>
              <w:lastRenderedPageBreak/>
              <w:t xml:space="preserve">priorité </w:t>
            </w:r>
            <w:r w:rsidRPr="002745A3">
              <w:rPr>
                <w:sz w:val="22"/>
                <w:szCs w:val="22"/>
                <w:lang w:val="fr-CH"/>
              </w:rPr>
              <w:t>n</w:t>
            </w:r>
            <w:r w:rsidRPr="002745A3">
              <w:rPr>
                <w:sz w:val="22"/>
                <w:szCs w:val="22"/>
                <w:vertAlign w:val="superscript"/>
                <w:lang w:val="fr-CH"/>
              </w:rPr>
              <w:t>o</w:t>
            </w:r>
            <w:r w:rsidRPr="002745A3">
              <w:rPr>
                <w:sz w:val="22"/>
                <w:szCs w:val="22"/>
                <w:lang w:val="fr-CH"/>
              </w:rPr>
              <w:t xml:space="preserve">3 : </w:t>
            </w:r>
            <w:r w:rsidR="00C426AD" w:rsidRPr="002745A3">
              <w:rPr>
                <w:sz w:val="22"/>
                <w:szCs w:val="22"/>
                <w:lang w:val="fr-CH"/>
              </w:rPr>
              <w:t xml:space="preserve">enfants qui requièrent une prise en charge extrafamiliale en raison de l’activité professionnelle </w:t>
            </w:r>
            <w:r w:rsidR="00EA4AA1" w:rsidRPr="002745A3">
              <w:rPr>
                <w:sz w:val="22"/>
                <w:szCs w:val="22"/>
                <w:lang w:val="fr-CH"/>
              </w:rPr>
              <w:t>des personnes détenant l’autorité parentale</w:t>
            </w:r>
            <w:r w:rsidR="00915240" w:rsidRPr="002745A3">
              <w:rPr>
                <w:sz w:val="22"/>
                <w:szCs w:val="22"/>
                <w:lang w:val="fr-CH"/>
              </w:rPr>
              <w:t>,</w:t>
            </w:r>
          </w:p>
          <w:p w14:paraId="72BC5E79" w14:textId="3628C4F5" w:rsidR="000601B3" w:rsidRPr="00506C71" w:rsidRDefault="00B92557" w:rsidP="00C426AD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 w:rsidRPr="002745A3">
              <w:rPr>
                <w:sz w:val="22"/>
                <w:szCs w:val="22"/>
                <w:lang w:val="fr-CH"/>
              </w:rPr>
              <w:t>priorité n</w:t>
            </w:r>
            <w:r w:rsidRPr="002745A3">
              <w:rPr>
                <w:sz w:val="22"/>
                <w:szCs w:val="22"/>
                <w:vertAlign w:val="superscript"/>
                <w:lang w:val="fr-CH"/>
              </w:rPr>
              <w:t>o</w:t>
            </w:r>
            <w:r w:rsidRPr="002745A3">
              <w:rPr>
                <w:sz w:val="22"/>
                <w:szCs w:val="22"/>
                <w:lang w:val="fr-CH"/>
              </w:rPr>
              <w:t xml:space="preserve">4 : </w:t>
            </w:r>
            <w:r w:rsidR="00C426AD" w:rsidRPr="002745A3">
              <w:rPr>
                <w:sz w:val="22"/>
                <w:szCs w:val="22"/>
                <w:lang w:val="fr-CH"/>
              </w:rPr>
              <w:t>enfants qui requièrent une prise en charge extrafamiliale en vue de leur</w:t>
            </w:r>
            <w:r w:rsidR="00C426AD" w:rsidRPr="00506C71">
              <w:rPr>
                <w:sz w:val="22"/>
                <w:szCs w:val="22"/>
                <w:lang w:val="fr-CH"/>
              </w:rPr>
              <w:t xml:space="preserve"> insertion sociale</w:t>
            </w:r>
            <w:r w:rsidR="00915240" w:rsidRPr="00506C71">
              <w:rPr>
                <w:sz w:val="22"/>
                <w:szCs w:val="22"/>
                <w:lang w:val="fr-CH"/>
              </w:rPr>
              <w:t>,</w:t>
            </w:r>
          </w:p>
          <w:p w14:paraId="3F814384" w14:textId="21B7CDC0" w:rsidR="00170F10" w:rsidRPr="00506C71" w:rsidRDefault="00B92557" w:rsidP="00E25248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lang w:val="fr-CH"/>
              </w:rPr>
              <w:t>priorité n</w:t>
            </w:r>
            <w:r w:rsidRPr="00506C71">
              <w:rPr>
                <w:sz w:val="22"/>
                <w:szCs w:val="22"/>
                <w:vertAlign w:val="superscript"/>
                <w:lang w:val="fr-CH"/>
              </w:rPr>
              <w:t>o</w:t>
            </w:r>
            <w:r w:rsidRPr="00506C71">
              <w:rPr>
                <w:sz w:val="22"/>
                <w:szCs w:val="22"/>
                <w:lang w:val="fr-CH"/>
              </w:rPr>
              <w:t xml:space="preserve">5 : </w:t>
            </w:r>
            <w:r w:rsidR="00556051" w:rsidRPr="00506C71">
              <w:rPr>
                <w:sz w:val="22"/>
                <w:szCs w:val="22"/>
                <w:lang w:val="fr-CH"/>
              </w:rPr>
              <w:t xml:space="preserve">enfants d’âge scolaire </w:t>
            </w:r>
            <w:r w:rsidR="008D3595" w:rsidRPr="00506C71">
              <w:rPr>
                <w:sz w:val="22"/>
                <w:szCs w:val="22"/>
                <w:lang w:val="fr-CH"/>
              </w:rPr>
              <w:t xml:space="preserve">pour autant qu’ils entrent dans le champ d’application </w:t>
            </w:r>
            <w:r w:rsidR="00A155DF" w:rsidRPr="00506C71">
              <w:rPr>
                <w:sz w:val="22"/>
                <w:szCs w:val="22"/>
                <w:lang w:val="fr-CH"/>
              </w:rPr>
              <w:t>de</w:t>
            </w:r>
            <w:r w:rsidR="008D3595" w:rsidRPr="00506C71">
              <w:rPr>
                <w:sz w:val="22"/>
                <w:szCs w:val="22"/>
                <w:lang w:val="fr-CH"/>
              </w:rPr>
              <w:t xml:space="preserve"> l’article</w:t>
            </w:r>
            <w:r w:rsidR="00302B31" w:rsidRPr="00506C71">
              <w:rPr>
                <w:sz w:val="22"/>
                <w:szCs w:val="22"/>
                <w:lang w:val="fr-CH"/>
              </w:rPr>
              <w:t> </w:t>
            </w:r>
            <w:r w:rsidR="008D3595" w:rsidRPr="00506C71">
              <w:rPr>
                <w:sz w:val="22"/>
                <w:szCs w:val="22"/>
                <w:lang w:val="fr-CH"/>
              </w:rPr>
              <w:t>3</w:t>
            </w:r>
            <w:r w:rsidR="00915240" w:rsidRPr="00506C71">
              <w:rPr>
                <w:sz w:val="22"/>
                <w:szCs w:val="22"/>
                <w:lang w:val="fr-CH"/>
              </w:rPr>
              <w:t>,</w:t>
            </w:r>
          </w:p>
          <w:p w14:paraId="5D07E6A8" w14:textId="03EDE970" w:rsidR="00DB4831" w:rsidRPr="00506C71" w:rsidRDefault="00915240" w:rsidP="00684CB2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lang w:val="fr-CH"/>
              </w:rPr>
              <w:t>s</w:t>
            </w:r>
            <w:r w:rsidR="001852F5" w:rsidRPr="00506C71">
              <w:rPr>
                <w:sz w:val="22"/>
                <w:szCs w:val="22"/>
                <w:lang w:val="fr-CH"/>
              </w:rPr>
              <w:t>olde</w:t>
            </w:r>
            <w:r w:rsidR="00556051" w:rsidRPr="00506C71">
              <w:rPr>
                <w:sz w:val="22"/>
                <w:szCs w:val="22"/>
                <w:lang w:val="fr-CH"/>
              </w:rPr>
              <w:t xml:space="preserve"> des dema</w:t>
            </w:r>
            <w:r w:rsidR="00D52ED5" w:rsidRPr="00506C71">
              <w:rPr>
                <w:sz w:val="22"/>
                <w:szCs w:val="22"/>
                <w:lang w:val="fr-CH"/>
              </w:rPr>
              <w:t xml:space="preserve">ndes </w:t>
            </w:r>
            <w:r w:rsidR="00684CB2" w:rsidRPr="00506C71">
              <w:rPr>
                <w:sz w:val="22"/>
                <w:szCs w:val="22"/>
                <w:lang w:val="fr-CH"/>
              </w:rPr>
              <w:t>dans l’ordre</w:t>
            </w:r>
            <w:r w:rsidR="00D52ED5" w:rsidRPr="00506C71">
              <w:rPr>
                <w:sz w:val="22"/>
                <w:szCs w:val="22"/>
                <w:lang w:val="fr-CH"/>
              </w:rPr>
              <w:t xml:space="preserve"> de réception.</w:t>
            </w:r>
          </w:p>
        </w:tc>
      </w:tr>
      <w:tr w:rsidR="00C53356" w:rsidRPr="00B8595A" w14:paraId="42CFD447" w14:textId="77777777" w:rsidTr="0004320F">
        <w:tc>
          <w:tcPr>
            <w:tcW w:w="2093" w:type="dxa"/>
          </w:tcPr>
          <w:p w14:paraId="7C0F74B4" w14:textId="77777777" w:rsidR="00C53356" w:rsidRPr="0004320F" w:rsidRDefault="00C53356" w:rsidP="0004320F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77FD1306" w14:textId="77777777" w:rsidR="00C53356" w:rsidRPr="0004320F" w:rsidRDefault="00C53356" w:rsidP="0004320F">
            <w:pPr>
              <w:rPr>
                <w:sz w:val="22"/>
                <w:szCs w:val="22"/>
                <w:lang w:val="fr-CH"/>
              </w:rPr>
            </w:pPr>
          </w:p>
        </w:tc>
      </w:tr>
      <w:tr w:rsidR="00686AF4" w:rsidRPr="00B8595A" w14:paraId="1F3ECAFD" w14:textId="77777777" w:rsidTr="005C4236">
        <w:tc>
          <w:tcPr>
            <w:tcW w:w="2093" w:type="dxa"/>
          </w:tcPr>
          <w:p w14:paraId="0CC11D95" w14:textId="0755DD8E" w:rsidR="00686AF4" w:rsidRPr="00EB3359" w:rsidRDefault="003B6E44" w:rsidP="00100F67">
            <w:pPr>
              <w:rPr>
                <w:sz w:val="18"/>
                <w:szCs w:val="18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>Adaptation des bons de garde</w:t>
            </w:r>
          </w:p>
        </w:tc>
        <w:tc>
          <w:tcPr>
            <w:tcW w:w="7195" w:type="dxa"/>
          </w:tcPr>
          <w:p w14:paraId="650CC3AA" w14:textId="728BC712" w:rsidR="00DB2077" w:rsidRPr="00506C71" w:rsidRDefault="00DB4831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506C71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445DE1" w:rsidRPr="00506C71">
              <w:rPr>
                <w:b/>
                <w:sz w:val="22"/>
                <w:szCs w:val="22"/>
                <w:lang w:val="fr-CH"/>
              </w:rPr>
              <w:t>10</w:t>
            </w:r>
            <w:r w:rsidRPr="00506C71">
              <w:rPr>
                <w:sz w:val="22"/>
                <w:szCs w:val="22"/>
                <w:lang w:val="fr-CH"/>
              </w:rPr>
              <w:t xml:space="preserve"> </w:t>
            </w:r>
            <w:r w:rsidR="00DB2077" w:rsidRPr="00506C71">
              <w:rPr>
                <w:sz w:val="22"/>
                <w:szCs w:val="22"/>
                <w:vertAlign w:val="superscript"/>
                <w:lang w:val="fr-CH"/>
              </w:rPr>
              <w:t xml:space="preserve">1 </w:t>
            </w:r>
            <w:r w:rsidR="008D3595" w:rsidRPr="00506C71">
              <w:rPr>
                <w:sz w:val="22"/>
                <w:szCs w:val="22"/>
                <w:lang w:val="fr-CH"/>
              </w:rPr>
              <w:t xml:space="preserve">Les bons de garde sont à adapter </w:t>
            </w:r>
            <w:r w:rsidR="00915240" w:rsidRPr="00506C71">
              <w:rPr>
                <w:sz w:val="22"/>
                <w:szCs w:val="22"/>
                <w:lang w:val="fr-CH"/>
              </w:rPr>
              <w:t xml:space="preserve">aux changements de situation </w:t>
            </w:r>
            <w:r w:rsidR="00B704FA" w:rsidRPr="00506C71">
              <w:rPr>
                <w:sz w:val="22"/>
                <w:szCs w:val="22"/>
                <w:lang w:val="fr-CH"/>
              </w:rPr>
              <w:t>selon les articles </w:t>
            </w:r>
            <w:r w:rsidR="000F2691" w:rsidRPr="00506C71">
              <w:rPr>
                <w:sz w:val="22"/>
                <w:szCs w:val="22"/>
                <w:lang w:val="fr-CH"/>
              </w:rPr>
              <w:t>65 et suivants</w:t>
            </w:r>
            <w:r w:rsidR="00B704FA" w:rsidRPr="00506C71">
              <w:rPr>
                <w:sz w:val="22"/>
                <w:szCs w:val="22"/>
                <w:lang w:val="fr-CH"/>
              </w:rPr>
              <w:t xml:space="preserve"> </w:t>
            </w:r>
            <w:r w:rsidR="000F2691" w:rsidRPr="00506C71">
              <w:rPr>
                <w:sz w:val="22"/>
                <w:szCs w:val="22"/>
                <w:lang w:val="fr-CH"/>
              </w:rPr>
              <w:t>OEJF</w:t>
            </w:r>
            <w:r w:rsidR="00DB2077" w:rsidRPr="00506C71">
              <w:rPr>
                <w:sz w:val="22"/>
                <w:szCs w:val="22"/>
                <w:lang w:val="fr-CH"/>
              </w:rPr>
              <w:t>.</w:t>
            </w:r>
          </w:p>
          <w:p w14:paraId="7DD95196" w14:textId="4FB9F4A2" w:rsidR="000F2691" w:rsidRPr="00EB3359" w:rsidRDefault="000F2691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vertAlign w:val="superscript"/>
                <w:lang w:val="fr-CH"/>
              </w:rPr>
              <w:t>2</w:t>
            </w:r>
            <w:r w:rsidRPr="00AB0092">
              <w:rPr>
                <w:sz w:val="22"/>
                <w:szCs w:val="22"/>
                <w:lang w:val="fr-CH"/>
              </w:rPr>
              <w:t xml:space="preserve"> </w:t>
            </w:r>
            <w:r w:rsidR="0036183C" w:rsidRPr="00AB0092">
              <w:rPr>
                <w:sz w:val="22"/>
                <w:szCs w:val="22"/>
                <w:lang w:val="fr-CH"/>
              </w:rPr>
              <w:t>Il n’existe pas de droit à une augmentation du taux de prise en charge admissible visé à l’article 66, alinéa 1, lettre </w:t>
            </w:r>
            <w:r w:rsidR="0036183C" w:rsidRPr="00AB0092">
              <w:rPr>
                <w:i/>
                <w:sz w:val="22"/>
                <w:szCs w:val="22"/>
                <w:lang w:val="fr-CH"/>
              </w:rPr>
              <w:t>a</w:t>
            </w:r>
            <w:r w:rsidR="0036183C" w:rsidRPr="00AB0092">
              <w:rPr>
                <w:sz w:val="22"/>
                <w:szCs w:val="22"/>
                <w:lang w:val="fr-CH"/>
              </w:rPr>
              <w:t xml:space="preserve"> </w:t>
            </w:r>
            <w:r w:rsidR="005663B6">
              <w:rPr>
                <w:sz w:val="22"/>
                <w:szCs w:val="22"/>
                <w:lang w:val="fr-CH"/>
              </w:rPr>
              <w:t xml:space="preserve">OEJF </w:t>
            </w:r>
            <w:r w:rsidR="0036183C" w:rsidRPr="00AB0092">
              <w:rPr>
                <w:sz w:val="22"/>
                <w:szCs w:val="22"/>
                <w:lang w:val="fr-CH"/>
              </w:rPr>
              <w:t>en cas de contingentement</w:t>
            </w:r>
            <w:r w:rsidRPr="00EB3359">
              <w:rPr>
                <w:rStyle w:val="Funotenzeichen"/>
                <w:sz w:val="22"/>
                <w:szCs w:val="22"/>
                <w:lang w:val="fr-CH"/>
              </w:rPr>
              <w:footnoteReference w:id="8"/>
            </w:r>
            <w:r w:rsidRPr="00EB3359">
              <w:rPr>
                <w:sz w:val="22"/>
                <w:szCs w:val="22"/>
                <w:lang w:val="fr-CH"/>
              </w:rPr>
              <w:t>.</w:t>
            </w:r>
          </w:p>
          <w:p w14:paraId="6CED0CBF" w14:textId="5FDE8872" w:rsidR="006A0036" w:rsidRPr="00EB3359" w:rsidRDefault="000F2691" w:rsidP="00345864">
            <w:pPr>
              <w:spacing w:after="240"/>
              <w:rPr>
                <w:sz w:val="22"/>
                <w:szCs w:val="22"/>
                <w:vertAlign w:val="superscript"/>
                <w:lang w:val="fr-CH"/>
              </w:rPr>
            </w:pPr>
            <w:r w:rsidRPr="00AB23C1">
              <w:rPr>
                <w:sz w:val="22"/>
                <w:szCs w:val="22"/>
                <w:vertAlign w:val="superscript"/>
                <w:lang w:val="fr-CH"/>
              </w:rPr>
              <w:t xml:space="preserve">3 </w:t>
            </w:r>
            <w:r w:rsidR="006A0036" w:rsidRPr="005663B6">
              <w:rPr>
                <w:sz w:val="22"/>
                <w:szCs w:val="22"/>
                <w:lang w:val="fr-CH"/>
              </w:rPr>
              <w:t xml:space="preserve">Les </w:t>
            </w:r>
            <w:r w:rsidR="00C53356" w:rsidRPr="005663B6">
              <w:rPr>
                <w:sz w:val="22"/>
                <w:szCs w:val="22"/>
                <w:lang w:val="fr-CH"/>
              </w:rPr>
              <w:t>personnes</w:t>
            </w:r>
            <w:r w:rsidR="00C53356">
              <w:rPr>
                <w:sz w:val="22"/>
                <w:szCs w:val="22"/>
                <w:lang w:val="fr-CH"/>
              </w:rPr>
              <w:t xml:space="preserve"> détenant l’autorité parentale</w:t>
            </w:r>
            <w:r w:rsidR="00C53356" w:rsidRPr="00EB3359">
              <w:rPr>
                <w:sz w:val="22"/>
                <w:szCs w:val="22"/>
                <w:lang w:val="fr-CH"/>
              </w:rPr>
              <w:t xml:space="preserve"> </w:t>
            </w:r>
            <w:r w:rsidR="006A0036" w:rsidRPr="00EB3359">
              <w:rPr>
                <w:sz w:val="22"/>
                <w:szCs w:val="22"/>
                <w:lang w:val="fr-CH"/>
              </w:rPr>
              <w:t xml:space="preserve">ont </w:t>
            </w:r>
            <w:r w:rsidR="008E5FCE" w:rsidRPr="00EB3359">
              <w:rPr>
                <w:sz w:val="22"/>
                <w:szCs w:val="22"/>
                <w:lang w:val="fr-CH"/>
              </w:rPr>
              <w:t xml:space="preserve">droit à ce que </w:t>
            </w:r>
            <w:r w:rsidR="006A0036" w:rsidRPr="002C16F5">
              <w:rPr>
                <w:sz w:val="22"/>
                <w:szCs w:val="22"/>
                <w:lang w:val="fr-CH"/>
              </w:rPr>
              <w:t xml:space="preserve">le taux de prise en charge subventionné </w:t>
            </w:r>
            <w:r w:rsidR="008E5FCE" w:rsidRPr="002C16F5">
              <w:rPr>
                <w:sz w:val="22"/>
                <w:szCs w:val="22"/>
                <w:lang w:val="fr-CH"/>
              </w:rPr>
              <w:t xml:space="preserve">soit adapté </w:t>
            </w:r>
            <w:r w:rsidR="006A0036" w:rsidRPr="00FA3F09">
              <w:rPr>
                <w:sz w:val="22"/>
                <w:szCs w:val="22"/>
                <w:lang w:val="fr-CH"/>
              </w:rPr>
              <w:t xml:space="preserve">au taux </w:t>
            </w:r>
            <w:r w:rsidR="00B92557" w:rsidRPr="00FA3F09">
              <w:rPr>
                <w:sz w:val="22"/>
                <w:szCs w:val="22"/>
                <w:lang w:val="fr-CH"/>
              </w:rPr>
              <w:t>de prise en charge convenu</w:t>
            </w:r>
            <w:r w:rsidR="008E5FCE" w:rsidRPr="00506C71">
              <w:rPr>
                <w:sz w:val="22"/>
                <w:szCs w:val="22"/>
                <w:lang w:val="fr-CH"/>
              </w:rPr>
              <w:t xml:space="preserve"> pour autant que celui-ci</w:t>
            </w:r>
            <w:r w:rsidR="006A0036" w:rsidRPr="00506C71">
              <w:rPr>
                <w:sz w:val="22"/>
                <w:szCs w:val="22"/>
                <w:lang w:val="fr-CH"/>
              </w:rPr>
              <w:t xml:space="preserve"> </w:t>
            </w:r>
            <w:r w:rsidR="00E32593">
              <w:rPr>
                <w:sz w:val="22"/>
                <w:szCs w:val="22"/>
                <w:lang w:val="fr-CH"/>
              </w:rPr>
              <w:t>n’excède pas</w:t>
            </w:r>
            <w:r w:rsidR="006A0036" w:rsidRPr="00E32593">
              <w:rPr>
                <w:sz w:val="22"/>
                <w:szCs w:val="22"/>
                <w:lang w:val="fr-CH"/>
              </w:rPr>
              <w:t xml:space="preserve"> le cadre du taux</w:t>
            </w:r>
            <w:r w:rsidR="00B92557" w:rsidRPr="00E32593">
              <w:rPr>
                <w:sz w:val="22"/>
                <w:szCs w:val="22"/>
                <w:lang w:val="fr-CH"/>
              </w:rPr>
              <w:t xml:space="preserve"> de prise en charge</w:t>
            </w:r>
            <w:r w:rsidR="006A0036" w:rsidRPr="00E32593">
              <w:rPr>
                <w:sz w:val="22"/>
                <w:szCs w:val="22"/>
                <w:lang w:val="fr-CH"/>
              </w:rPr>
              <w:t xml:space="preserve"> </w:t>
            </w:r>
            <w:r w:rsidR="00EE07B7" w:rsidRPr="00E32593">
              <w:rPr>
                <w:sz w:val="22"/>
                <w:szCs w:val="22"/>
                <w:lang w:val="fr-CH"/>
              </w:rPr>
              <w:t xml:space="preserve">admissible </w:t>
            </w:r>
            <w:r w:rsidR="008E5FCE" w:rsidRPr="00E32593">
              <w:rPr>
                <w:sz w:val="22"/>
                <w:szCs w:val="22"/>
                <w:lang w:val="fr-CH"/>
              </w:rPr>
              <w:t xml:space="preserve">tel qu’il se présentait au moment </w:t>
            </w:r>
            <w:r w:rsidR="0086692C" w:rsidRPr="00E32593">
              <w:rPr>
                <w:sz w:val="22"/>
                <w:szCs w:val="22"/>
                <w:lang w:val="fr-CH"/>
              </w:rPr>
              <w:t>de la décision</w:t>
            </w:r>
            <w:r w:rsidR="006C7EE4" w:rsidRPr="00E32593">
              <w:rPr>
                <w:sz w:val="22"/>
                <w:szCs w:val="22"/>
                <w:lang w:val="fr-CH"/>
              </w:rPr>
              <w:t xml:space="preserve"> </w:t>
            </w:r>
            <w:r w:rsidR="00AB0092">
              <w:rPr>
                <w:sz w:val="22"/>
                <w:szCs w:val="22"/>
                <w:lang w:val="fr-CH"/>
              </w:rPr>
              <w:t>d’octroi</w:t>
            </w:r>
            <w:r w:rsidR="000D3738" w:rsidRPr="00AB0092">
              <w:rPr>
                <w:rStyle w:val="Funotenzeichen"/>
                <w:sz w:val="22"/>
                <w:szCs w:val="22"/>
                <w:lang w:val="fr-CH"/>
              </w:rPr>
              <w:footnoteReference w:id="9"/>
            </w:r>
            <w:r w:rsidR="008363C3" w:rsidRPr="00EB3359">
              <w:rPr>
                <w:sz w:val="22"/>
                <w:szCs w:val="22"/>
                <w:lang w:val="fr-CH"/>
              </w:rPr>
              <w:t>.</w:t>
            </w:r>
          </w:p>
          <w:p w14:paraId="5D0EE39C" w14:textId="0B983F9D" w:rsidR="00DB2077" w:rsidRPr="00506C71" w:rsidRDefault="000F2691" w:rsidP="00302B31">
            <w:pPr>
              <w:rPr>
                <w:sz w:val="22"/>
                <w:szCs w:val="22"/>
                <w:lang w:val="fr-CH"/>
              </w:rPr>
            </w:pPr>
            <w:r w:rsidRPr="002C16F5">
              <w:rPr>
                <w:sz w:val="22"/>
                <w:szCs w:val="22"/>
                <w:vertAlign w:val="superscript"/>
                <w:lang w:val="fr-CH"/>
              </w:rPr>
              <w:t>4</w:t>
            </w:r>
            <w:r w:rsidRPr="002C16F5">
              <w:rPr>
                <w:sz w:val="22"/>
                <w:szCs w:val="22"/>
                <w:lang w:val="fr-CH"/>
              </w:rPr>
              <w:t xml:space="preserve"> </w:t>
            </w:r>
            <w:r w:rsidR="006A0036" w:rsidRPr="00FA3F09">
              <w:rPr>
                <w:sz w:val="22"/>
                <w:szCs w:val="22"/>
                <w:lang w:val="fr-CH"/>
              </w:rPr>
              <w:t>Les coûts d’adaptation dépassant le crédit visé à l’article</w:t>
            </w:r>
            <w:r w:rsidR="00302B31" w:rsidRPr="00506C71">
              <w:rPr>
                <w:sz w:val="22"/>
                <w:szCs w:val="22"/>
                <w:lang w:val="fr-CH"/>
              </w:rPr>
              <w:t> </w:t>
            </w:r>
            <w:r w:rsidR="006A0036" w:rsidRPr="00506C71">
              <w:rPr>
                <w:sz w:val="22"/>
                <w:szCs w:val="22"/>
                <w:lang w:val="fr-CH"/>
              </w:rPr>
              <w:t>6, alinéa 2 sont</w:t>
            </w:r>
            <w:r w:rsidR="009228C5" w:rsidRPr="00506C71">
              <w:rPr>
                <w:sz w:val="22"/>
                <w:szCs w:val="22"/>
                <w:lang w:val="fr-CH"/>
              </w:rPr>
              <w:t xml:space="preserve"> des dépenses</w:t>
            </w:r>
            <w:r w:rsidR="006A0036" w:rsidRPr="00506C71">
              <w:rPr>
                <w:sz w:val="22"/>
                <w:szCs w:val="22"/>
                <w:lang w:val="fr-CH"/>
              </w:rPr>
              <w:t xml:space="preserve"> lié</w:t>
            </w:r>
            <w:r w:rsidR="009228C5" w:rsidRPr="00506C71">
              <w:rPr>
                <w:sz w:val="22"/>
                <w:szCs w:val="22"/>
                <w:lang w:val="fr-CH"/>
              </w:rPr>
              <w:t>e</w:t>
            </w:r>
            <w:r w:rsidR="006A0036" w:rsidRPr="00506C71">
              <w:rPr>
                <w:sz w:val="22"/>
                <w:szCs w:val="22"/>
                <w:lang w:val="fr-CH"/>
              </w:rPr>
              <w:t>s.</w:t>
            </w:r>
          </w:p>
        </w:tc>
      </w:tr>
      <w:tr w:rsidR="00686AF4" w:rsidRPr="00B8595A" w14:paraId="41689019" w14:textId="77777777" w:rsidTr="005C4236">
        <w:tc>
          <w:tcPr>
            <w:tcW w:w="2093" w:type="dxa"/>
          </w:tcPr>
          <w:p w14:paraId="46FE144A" w14:textId="77777777" w:rsidR="00686AF4" w:rsidRPr="00EB3359" w:rsidRDefault="00686AF4">
            <w:pPr>
              <w:rPr>
                <w:lang w:val="fr-CH"/>
              </w:rPr>
            </w:pPr>
          </w:p>
        </w:tc>
        <w:tc>
          <w:tcPr>
            <w:tcW w:w="7195" w:type="dxa"/>
          </w:tcPr>
          <w:p w14:paraId="1C5D468F" w14:textId="77777777" w:rsidR="00686AF4" w:rsidRPr="002C16F5" w:rsidRDefault="00686AF4">
            <w:pPr>
              <w:rPr>
                <w:sz w:val="22"/>
                <w:szCs w:val="22"/>
                <w:lang w:val="fr-CH"/>
              </w:rPr>
            </w:pPr>
          </w:p>
        </w:tc>
      </w:tr>
      <w:tr w:rsidR="00170F10" w:rsidRPr="00B8595A" w14:paraId="36ED5B48" w14:textId="77777777" w:rsidTr="005C4236">
        <w:tc>
          <w:tcPr>
            <w:tcW w:w="2093" w:type="dxa"/>
          </w:tcPr>
          <w:p w14:paraId="636CF91B" w14:textId="48DBD694" w:rsidR="00170F10" w:rsidRPr="00EB3359" w:rsidRDefault="005F42E8" w:rsidP="00EE07B7">
            <w:pPr>
              <w:rPr>
                <w:sz w:val="18"/>
                <w:szCs w:val="18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 xml:space="preserve">Taux de prise en charge </w:t>
            </w:r>
            <w:r w:rsidR="00EE07B7" w:rsidRPr="00EB3359">
              <w:rPr>
                <w:sz w:val="18"/>
                <w:szCs w:val="18"/>
                <w:lang w:val="fr-CH"/>
              </w:rPr>
              <w:t>admissible</w:t>
            </w:r>
            <w:r w:rsidR="00170F10" w:rsidRPr="00EB3359">
              <w:rPr>
                <w:rStyle w:val="Funotenzeichen"/>
                <w:sz w:val="18"/>
                <w:szCs w:val="18"/>
                <w:lang w:val="fr-CH"/>
              </w:rPr>
              <w:footnoteReference w:id="10"/>
            </w:r>
          </w:p>
        </w:tc>
        <w:tc>
          <w:tcPr>
            <w:tcW w:w="7195" w:type="dxa"/>
          </w:tcPr>
          <w:p w14:paraId="669D5B78" w14:textId="5F166397" w:rsidR="0020097B" w:rsidRPr="00FA3F09" w:rsidRDefault="00CA7DBD" w:rsidP="00EA6A16">
            <w:pPr>
              <w:rPr>
                <w:b/>
                <w:sz w:val="22"/>
                <w:szCs w:val="22"/>
                <w:lang w:val="fr-CH"/>
              </w:rPr>
            </w:pPr>
            <w:r w:rsidRPr="002C16F5">
              <w:rPr>
                <w:sz w:val="22"/>
                <w:szCs w:val="22"/>
                <w:u w:val="single"/>
                <w:lang w:val="fr-CH"/>
              </w:rPr>
              <w:t>O</w:t>
            </w:r>
            <w:r w:rsidR="003B6E44" w:rsidRPr="002C16F5">
              <w:rPr>
                <w:sz w:val="22"/>
                <w:szCs w:val="22"/>
                <w:u w:val="single"/>
                <w:lang w:val="fr-CH"/>
              </w:rPr>
              <w:t>ption</w:t>
            </w:r>
            <w:r w:rsidRPr="00FA3F09">
              <w:rPr>
                <w:sz w:val="22"/>
                <w:szCs w:val="22"/>
                <w:u w:val="single"/>
                <w:lang w:val="fr-CH"/>
              </w:rPr>
              <w:t> 1</w:t>
            </w:r>
          </w:p>
          <w:p w14:paraId="302DD402" w14:textId="05EE408A" w:rsidR="0062611E" w:rsidRPr="00506C71" w:rsidRDefault="00170F10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506C71">
              <w:rPr>
                <w:b/>
                <w:sz w:val="22"/>
                <w:szCs w:val="22"/>
                <w:lang w:val="fr-CH"/>
              </w:rPr>
              <w:t xml:space="preserve">Art. </w:t>
            </w:r>
            <w:r w:rsidR="00DB4831" w:rsidRPr="00506C71">
              <w:rPr>
                <w:b/>
                <w:sz w:val="22"/>
                <w:szCs w:val="22"/>
                <w:lang w:val="fr-CH"/>
              </w:rPr>
              <w:t>1</w:t>
            </w:r>
            <w:r w:rsidR="00445DE1" w:rsidRPr="00506C71">
              <w:rPr>
                <w:b/>
                <w:sz w:val="22"/>
                <w:szCs w:val="22"/>
                <w:lang w:val="fr-CH"/>
              </w:rPr>
              <w:t>1</w:t>
            </w:r>
            <w:r w:rsidRPr="00506C71">
              <w:rPr>
                <w:sz w:val="22"/>
                <w:szCs w:val="22"/>
                <w:lang w:val="fr-CH"/>
              </w:rPr>
              <w:t xml:space="preserve"> </w:t>
            </w:r>
            <w:r w:rsidR="0062611E" w:rsidRPr="00506C71">
              <w:rPr>
                <w:sz w:val="22"/>
                <w:szCs w:val="22"/>
                <w:vertAlign w:val="superscript"/>
                <w:lang w:val="fr-CH"/>
              </w:rPr>
              <w:t>1</w:t>
            </w:r>
            <w:r w:rsidR="0062611E" w:rsidRPr="00506C71">
              <w:rPr>
                <w:sz w:val="22"/>
                <w:szCs w:val="22"/>
                <w:lang w:val="fr-CH"/>
              </w:rPr>
              <w:t xml:space="preserve"> </w:t>
            </w:r>
            <w:r w:rsidR="00F045C1" w:rsidRPr="00506C71">
              <w:rPr>
                <w:sz w:val="22"/>
                <w:szCs w:val="22"/>
                <w:lang w:val="fr-CH"/>
              </w:rPr>
              <w:t>Le taux de prise en charge admissible dans l’un des cas prévus à l’article 36, alinéa 1, lettres</w:t>
            </w:r>
            <w:r w:rsidR="00302D32" w:rsidRPr="00506C71">
              <w:rPr>
                <w:sz w:val="22"/>
                <w:szCs w:val="22"/>
                <w:lang w:val="fr-CH"/>
              </w:rPr>
              <w:t> </w:t>
            </w:r>
            <w:r w:rsidR="00F045C1" w:rsidRPr="00AB0092">
              <w:rPr>
                <w:i/>
                <w:sz w:val="22"/>
                <w:szCs w:val="22"/>
                <w:lang w:val="fr-CH"/>
              </w:rPr>
              <w:t>a</w:t>
            </w:r>
            <w:r w:rsidR="00F045C1" w:rsidRPr="00F33494">
              <w:rPr>
                <w:sz w:val="22"/>
                <w:szCs w:val="22"/>
                <w:lang w:val="fr-CH"/>
              </w:rPr>
              <w:t xml:space="preserve"> à </w:t>
            </w:r>
            <w:r w:rsidR="00F045C1" w:rsidRPr="00AB0092">
              <w:rPr>
                <w:i/>
                <w:sz w:val="22"/>
                <w:szCs w:val="22"/>
                <w:lang w:val="fr-CH"/>
              </w:rPr>
              <w:t>f</w:t>
            </w:r>
            <w:r w:rsidR="00F045C1" w:rsidRPr="00F33494">
              <w:rPr>
                <w:sz w:val="22"/>
                <w:szCs w:val="22"/>
                <w:lang w:val="fr-CH"/>
              </w:rPr>
              <w:t xml:space="preserve"> OEJF est fixé par rapport au taux d’activité </w:t>
            </w:r>
            <w:r w:rsidR="00F2010B" w:rsidRPr="002C16F5">
              <w:rPr>
                <w:sz w:val="22"/>
                <w:szCs w:val="22"/>
                <w:lang w:val="fr-CH"/>
              </w:rPr>
              <w:t>effectif</w:t>
            </w:r>
            <w:r w:rsidR="00F045C1" w:rsidRPr="002C16F5">
              <w:rPr>
                <w:sz w:val="22"/>
                <w:szCs w:val="22"/>
                <w:lang w:val="fr-CH"/>
              </w:rPr>
              <w:t>, sans majoration de 20</w:t>
            </w:r>
            <w:r w:rsidR="00302D32" w:rsidRPr="00FA3F09">
              <w:rPr>
                <w:sz w:val="22"/>
                <w:szCs w:val="22"/>
                <w:lang w:val="fr-CH"/>
              </w:rPr>
              <w:t> </w:t>
            </w:r>
            <w:r w:rsidR="00F045C1" w:rsidRPr="00FA3F09">
              <w:rPr>
                <w:sz w:val="22"/>
                <w:szCs w:val="22"/>
                <w:lang w:val="fr-CH"/>
              </w:rPr>
              <w:t>pour cent.</w:t>
            </w:r>
          </w:p>
          <w:p w14:paraId="3548E960" w14:textId="520BFAFE" w:rsidR="00816464" w:rsidRPr="00FA3F09" w:rsidRDefault="0062611E" w:rsidP="00915240">
            <w:pPr>
              <w:rPr>
                <w:sz w:val="22"/>
                <w:szCs w:val="22"/>
                <w:lang w:val="fr-CH"/>
              </w:rPr>
            </w:pPr>
            <w:r w:rsidRPr="00506C71">
              <w:rPr>
                <w:sz w:val="22"/>
                <w:szCs w:val="22"/>
                <w:vertAlign w:val="superscript"/>
                <w:lang w:val="fr-CH"/>
              </w:rPr>
              <w:t xml:space="preserve">2 </w:t>
            </w:r>
            <w:r w:rsidR="00915240" w:rsidRPr="00506C71">
              <w:rPr>
                <w:sz w:val="22"/>
                <w:szCs w:val="22"/>
                <w:lang w:val="fr-CH"/>
              </w:rPr>
              <w:t>En cas de raison impérative</w:t>
            </w:r>
            <w:r w:rsidR="006A69AA" w:rsidRPr="00EB3359">
              <w:rPr>
                <w:rStyle w:val="Funotenzeichen"/>
                <w:sz w:val="22"/>
                <w:szCs w:val="22"/>
                <w:lang w:val="fr-CH"/>
              </w:rPr>
              <w:footnoteReference w:id="11"/>
            </w:r>
            <w:r w:rsidR="0046017A" w:rsidRPr="00EB3359">
              <w:rPr>
                <w:sz w:val="22"/>
                <w:szCs w:val="22"/>
                <w:lang w:val="fr-CH"/>
              </w:rPr>
              <w:t xml:space="preserve">, la commune peut remettre des bons de garde </w:t>
            </w:r>
            <w:r w:rsidR="006A69AA" w:rsidRPr="00EB3359">
              <w:rPr>
                <w:sz w:val="22"/>
                <w:szCs w:val="22"/>
                <w:lang w:val="fr-CH"/>
              </w:rPr>
              <w:t>pour un taux de prise en charge supérieur au</w:t>
            </w:r>
            <w:r w:rsidR="0046017A" w:rsidRPr="00EB3359">
              <w:rPr>
                <w:sz w:val="22"/>
                <w:szCs w:val="22"/>
                <w:lang w:val="fr-CH"/>
              </w:rPr>
              <w:t xml:space="preserve"> taux d’activité </w:t>
            </w:r>
            <w:r w:rsidR="00F2010B" w:rsidRPr="002C16F5">
              <w:rPr>
                <w:sz w:val="22"/>
                <w:szCs w:val="22"/>
                <w:lang w:val="fr-CH"/>
              </w:rPr>
              <w:t>effectif</w:t>
            </w:r>
            <w:r w:rsidR="00915240" w:rsidRPr="002C16F5">
              <w:rPr>
                <w:sz w:val="22"/>
                <w:szCs w:val="22"/>
                <w:lang w:val="fr-CH"/>
              </w:rPr>
              <w:t>, sur demande de dérogation motivée</w:t>
            </w:r>
            <w:r w:rsidR="007B1638" w:rsidRPr="002C16F5">
              <w:rPr>
                <w:sz w:val="22"/>
                <w:szCs w:val="22"/>
                <w:lang w:val="fr-CH"/>
              </w:rPr>
              <w:t>.</w:t>
            </w:r>
          </w:p>
          <w:p w14:paraId="01586E39" w14:textId="77777777" w:rsidR="00CA7DBD" w:rsidRPr="00506C71" w:rsidRDefault="00CA7DBD" w:rsidP="00915240">
            <w:pPr>
              <w:rPr>
                <w:sz w:val="22"/>
                <w:szCs w:val="22"/>
                <w:lang w:val="fr-CH"/>
              </w:rPr>
            </w:pPr>
          </w:p>
          <w:p w14:paraId="062DE331" w14:textId="77777777" w:rsidR="00CA7DBD" w:rsidRPr="00506C71" w:rsidRDefault="00CA7DBD" w:rsidP="00CA7DBD">
            <w:pPr>
              <w:rPr>
                <w:sz w:val="22"/>
                <w:szCs w:val="22"/>
                <w:u w:val="single"/>
                <w:lang w:val="fr-CH"/>
              </w:rPr>
            </w:pPr>
            <w:r w:rsidRPr="00506C71">
              <w:rPr>
                <w:sz w:val="22"/>
                <w:szCs w:val="22"/>
                <w:u w:val="single"/>
                <w:lang w:val="fr-CH"/>
              </w:rPr>
              <w:t>Option 2</w:t>
            </w:r>
          </w:p>
          <w:p w14:paraId="692B2312" w14:textId="562FF517" w:rsidR="00CA7DBD" w:rsidRPr="00506C71" w:rsidRDefault="00CA7DBD">
            <w:pPr>
              <w:rPr>
                <w:sz w:val="22"/>
                <w:szCs w:val="22"/>
                <w:u w:val="single"/>
                <w:lang w:val="fr-CH"/>
              </w:rPr>
            </w:pPr>
            <w:r w:rsidRPr="00506C71">
              <w:rPr>
                <w:b/>
                <w:sz w:val="22"/>
                <w:szCs w:val="22"/>
                <w:lang w:val="fr-CH"/>
              </w:rPr>
              <w:t>Art. 11</w:t>
            </w:r>
            <w:r w:rsidRPr="00506C71">
              <w:rPr>
                <w:sz w:val="22"/>
                <w:szCs w:val="22"/>
                <w:lang w:val="fr-CH"/>
              </w:rPr>
              <w:t xml:space="preserve"> </w:t>
            </w:r>
            <w:r w:rsidRPr="00506C71">
              <w:rPr>
                <w:sz w:val="22"/>
                <w:szCs w:val="22"/>
                <w:vertAlign w:val="superscript"/>
                <w:lang w:val="fr-CH"/>
              </w:rPr>
              <w:t>1</w:t>
            </w:r>
            <w:r w:rsidR="00F27A7C" w:rsidRPr="00506C71">
              <w:rPr>
                <w:sz w:val="22"/>
                <w:szCs w:val="22"/>
                <w:vertAlign w:val="superscript"/>
                <w:lang w:val="fr-CH"/>
              </w:rPr>
              <w:t xml:space="preserve"> </w:t>
            </w:r>
            <w:r w:rsidR="00F045C1" w:rsidRPr="00506C71">
              <w:rPr>
                <w:sz w:val="22"/>
                <w:szCs w:val="22"/>
                <w:lang w:val="fr-CH"/>
              </w:rPr>
              <w:t xml:space="preserve">La commune réduit </w:t>
            </w:r>
            <w:r w:rsidR="005313E8">
              <w:rPr>
                <w:sz w:val="22"/>
                <w:szCs w:val="22"/>
                <w:lang w:val="fr-CH"/>
              </w:rPr>
              <w:t>de vingt</w:t>
            </w:r>
            <w:r w:rsidR="005313E8" w:rsidRPr="00575AA3">
              <w:rPr>
                <w:sz w:val="22"/>
                <w:szCs w:val="22"/>
                <w:lang w:val="fr-CH"/>
              </w:rPr>
              <w:t xml:space="preserve"> </w:t>
            </w:r>
            <w:r w:rsidR="00E85215" w:rsidRPr="00506C71">
              <w:rPr>
                <w:sz w:val="22"/>
                <w:szCs w:val="22"/>
                <w:lang w:val="fr-CH"/>
              </w:rPr>
              <w:t xml:space="preserve">à dix pour cent </w:t>
            </w:r>
            <w:r w:rsidR="00F045C1" w:rsidRPr="00506C71">
              <w:rPr>
                <w:sz w:val="22"/>
                <w:szCs w:val="22"/>
                <w:lang w:val="fr-CH"/>
              </w:rPr>
              <w:t>la majoration</w:t>
            </w:r>
            <w:r w:rsidR="00F27A7C" w:rsidRPr="00506C71">
              <w:rPr>
                <w:sz w:val="22"/>
                <w:szCs w:val="22"/>
                <w:lang w:val="fr-CH"/>
              </w:rPr>
              <w:t xml:space="preserve"> </w:t>
            </w:r>
            <w:r w:rsidR="00E85215" w:rsidRPr="00506C71">
              <w:rPr>
                <w:sz w:val="22"/>
                <w:szCs w:val="22"/>
                <w:lang w:val="fr-CH"/>
              </w:rPr>
              <w:t>d</w:t>
            </w:r>
            <w:r w:rsidR="00F045C1" w:rsidRPr="00506C71">
              <w:rPr>
                <w:sz w:val="22"/>
                <w:szCs w:val="22"/>
                <w:lang w:val="fr-CH"/>
              </w:rPr>
              <w:t xml:space="preserve">u taux d’activité </w:t>
            </w:r>
            <w:r w:rsidR="00F2010B" w:rsidRPr="00506C71">
              <w:rPr>
                <w:sz w:val="22"/>
                <w:szCs w:val="22"/>
                <w:lang w:val="fr-CH"/>
              </w:rPr>
              <w:t>effectif</w:t>
            </w:r>
            <w:r w:rsidR="00F045C1" w:rsidRPr="00506C71">
              <w:rPr>
                <w:sz w:val="22"/>
                <w:szCs w:val="22"/>
                <w:lang w:val="fr-CH"/>
              </w:rPr>
              <w:t xml:space="preserve"> pour déterminer le taux de prise en charge admissible</w:t>
            </w:r>
            <w:r w:rsidR="00F27A7C" w:rsidRPr="00506C71">
              <w:rPr>
                <w:sz w:val="22"/>
                <w:szCs w:val="22"/>
                <w:lang w:val="fr-CH"/>
              </w:rPr>
              <w:t>.</w:t>
            </w:r>
          </w:p>
        </w:tc>
      </w:tr>
      <w:tr w:rsidR="00170F10" w:rsidRPr="00B8595A" w14:paraId="767E452D" w14:textId="77777777" w:rsidTr="005C4236">
        <w:tc>
          <w:tcPr>
            <w:tcW w:w="2093" w:type="dxa"/>
          </w:tcPr>
          <w:p w14:paraId="4AD3A8A8" w14:textId="77777777" w:rsidR="00170F10" w:rsidRPr="00EB3359" w:rsidRDefault="00170F10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34FA0428" w14:textId="77777777" w:rsidR="00170F10" w:rsidRPr="002C16F5" w:rsidRDefault="00170F10">
            <w:pPr>
              <w:rPr>
                <w:sz w:val="22"/>
                <w:szCs w:val="22"/>
                <w:lang w:val="fr-CH"/>
              </w:rPr>
            </w:pPr>
          </w:p>
        </w:tc>
      </w:tr>
      <w:tr w:rsidR="00A26E08" w:rsidRPr="00B8595A" w14:paraId="4B8FD949" w14:textId="77777777" w:rsidTr="005C4236">
        <w:tc>
          <w:tcPr>
            <w:tcW w:w="2093" w:type="dxa"/>
          </w:tcPr>
          <w:p w14:paraId="6530B699" w14:textId="77777777" w:rsidR="00A26E08" w:rsidRPr="00EB3359" w:rsidRDefault="005F42E8">
            <w:pPr>
              <w:rPr>
                <w:sz w:val="18"/>
                <w:szCs w:val="18"/>
                <w:highlight w:val="yellow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>Emoluments</w:t>
            </w:r>
          </w:p>
        </w:tc>
        <w:tc>
          <w:tcPr>
            <w:tcW w:w="7195" w:type="dxa"/>
          </w:tcPr>
          <w:p w14:paraId="18D9F11D" w14:textId="751B991A" w:rsidR="008E5FCE" w:rsidRPr="002C16F5" w:rsidRDefault="008E5FCE" w:rsidP="00AD26BF">
            <w:pPr>
              <w:rPr>
                <w:sz w:val="22"/>
                <w:szCs w:val="22"/>
                <w:u w:val="single"/>
                <w:lang w:val="fr-CH"/>
              </w:rPr>
            </w:pPr>
            <w:r w:rsidRPr="002C16F5">
              <w:rPr>
                <w:sz w:val="22"/>
                <w:szCs w:val="22"/>
                <w:u w:val="single"/>
                <w:lang w:val="fr-CH"/>
              </w:rPr>
              <w:t>Option</w:t>
            </w:r>
            <w:r w:rsidR="00CA7DBD" w:rsidRPr="002C16F5">
              <w:rPr>
                <w:sz w:val="22"/>
                <w:szCs w:val="22"/>
                <w:u w:val="single"/>
                <w:lang w:val="fr-CH"/>
              </w:rPr>
              <w:t> 1</w:t>
            </w:r>
          </w:p>
          <w:p w14:paraId="31C6F19E" w14:textId="08DA5DE8" w:rsidR="00C039E4" w:rsidRPr="00EB3359" w:rsidRDefault="008A6595" w:rsidP="00345864">
            <w:pPr>
              <w:spacing w:after="240"/>
              <w:rPr>
                <w:sz w:val="22"/>
                <w:szCs w:val="22"/>
                <w:lang w:val="fr-CH"/>
              </w:rPr>
            </w:pPr>
            <w:r w:rsidRPr="00506C71">
              <w:rPr>
                <w:b/>
                <w:sz w:val="22"/>
                <w:szCs w:val="22"/>
                <w:lang w:val="fr-CH"/>
              </w:rPr>
              <w:lastRenderedPageBreak/>
              <w:t xml:space="preserve">Art. </w:t>
            </w:r>
            <w:r w:rsidR="00AD26BF" w:rsidRPr="00506C71">
              <w:rPr>
                <w:b/>
                <w:sz w:val="22"/>
                <w:szCs w:val="22"/>
                <w:lang w:val="fr-CH"/>
              </w:rPr>
              <w:t>1</w:t>
            </w:r>
            <w:r w:rsidR="00445DE1" w:rsidRPr="00506C71">
              <w:rPr>
                <w:b/>
                <w:sz w:val="22"/>
                <w:szCs w:val="22"/>
                <w:lang w:val="fr-CH"/>
              </w:rPr>
              <w:t>2</w:t>
            </w:r>
            <w:r w:rsidR="00A26E08" w:rsidRPr="00506C71">
              <w:rPr>
                <w:sz w:val="22"/>
                <w:szCs w:val="22"/>
                <w:lang w:val="fr-CH"/>
              </w:rPr>
              <w:t xml:space="preserve"> </w:t>
            </w:r>
            <w:r w:rsidR="005F42E8" w:rsidRPr="00506C71">
              <w:rPr>
                <w:sz w:val="22"/>
                <w:szCs w:val="22"/>
                <w:lang w:val="fr-CH"/>
              </w:rPr>
              <w:t xml:space="preserve">Un </w:t>
            </w:r>
            <w:r w:rsidR="00E85215" w:rsidRPr="00506C71">
              <w:rPr>
                <w:sz w:val="22"/>
                <w:szCs w:val="22"/>
                <w:lang w:val="fr-CH"/>
              </w:rPr>
              <w:t xml:space="preserve">émolument </w:t>
            </w:r>
            <w:r w:rsidR="005F42E8" w:rsidRPr="00506C71">
              <w:rPr>
                <w:sz w:val="22"/>
                <w:szCs w:val="22"/>
                <w:lang w:val="fr-CH"/>
              </w:rPr>
              <w:t>forfaitaire de 50</w:t>
            </w:r>
            <w:r w:rsidR="00302D32" w:rsidRPr="00506C71">
              <w:rPr>
                <w:sz w:val="22"/>
                <w:szCs w:val="22"/>
                <w:lang w:val="fr-CH"/>
              </w:rPr>
              <w:t> </w:t>
            </w:r>
            <w:r w:rsidR="005F42E8" w:rsidRPr="00506C71">
              <w:rPr>
                <w:sz w:val="22"/>
                <w:szCs w:val="22"/>
                <w:lang w:val="fr-CH"/>
              </w:rPr>
              <w:t>francs est perçu pour le traitement de la demande de bon</w:t>
            </w:r>
            <w:r w:rsidR="007F545E" w:rsidRPr="00506C71">
              <w:rPr>
                <w:sz w:val="22"/>
                <w:szCs w:val="22"/>
                <w:lang w:val="fr-CH"/>
              </w:rPr>
              <w:t>s</w:t>
            </w:r>
            <w:r w:rsidR="005F42E8" w:rsidRPr="00506C71">
              <w:rPr>
                <w:sz w:val="22"/>
                <w:szCs w:val="22"/>
                <w:lang w:val="fr-CH"/>
              </w:rPr>
              <w:t xml:space="preserve"> de garde</w:t>
            </w:r>
            <w:r w:rsidR="00816464" w:rsidRPr="00EB3359">
              <w:rPr>
                <w:rStyle w:val="Funotenzeichen"/>
                <w:sz w:val="22"/>
                <w:szCs w:val="22"/>
                <w:lang w:val="fr-CH"/>
              </w:rPr>
              <w:footnoteReference w:id="12"/>
            </w:r>
            <w:r w:rsidR="005F42E8" w:rsidRPr="00EB3359">
              <w:rPr>
                <w:sz w:val="22"/>
                <w:szCs w:val="22"/>
                <w:lang w:val="fr-CH"/>
              </w:rPr>
              <w:t>.</w:t>
            </w:r>
          </w:p>
          <w:p w14:paraId="382FF66B" w14:textId="69BC3D16" w:rsidR="00C039E4" w:rsidRPr="002C16F5" w:rsidRDefault="005F42E8" w:rsidP="00AD26BF">
            <w:pPr>
              <w:rPr>
                <w:sz w:val="22"/>
                <w:szCs w:val="22"/>
                <w:u w:val="single"/>
                <w:lang w:val="fr-CH"/>
              </w:rPr>
            </w:pPr>
            <w:r w:rsidRPr="002C16F5">
              <w:rPr>
                <w:sz w:val="22"/>
                <w:szCs w:val="22"/>
                <w:u w:val="single"/>
                <w:lang w:val="fr-CH"/>
              </w:rPr>
              <w:t>Option</w:t>
            </w:r>
            <w:r w:rsidR="00CA7DBD" w:rsidRPr="002C16F5">
              <w:rPr>
                <w:sz w:val="22"/>
                <w:szCs w:val="22"/>
                <w:u w:val="single"/>
                <w:lang w:val="fr-CH"/>
              </w:rPr>
              <w:t> 2</w:t>
            </w:r>
          </w:p>
          <w:p w14:paraId="230D2D4E" w14:textId="77777777" w:rsidR="00A26E08" w:rsidRPr="00EB3359" w:rsidRDefault="00C039E4" w:rsidP="005F42E8">
            <w:pPr>
              <w:rPr>
                <w:sz w:val="22"/>
                <w:szCs w:val="22"/>
                <w:lang w:val="fr-CH"/>
              </w:rPr>
            </w:pPr>
            <w:r w:rsidRPr="00506C71">
              <w:rPr>
                <w:b/>
                <w:sz w:val="22"/>
                <w:szCs w:val="22"/>
                <w:lang w:val="fr-CH"/>
              </w:rPr>
              <w:t>Art. 1</w:t>
            </w:r>
            <w:r w:rsidR="00445DE1" w:rsidRPr="00506C71">
              <w:rPr>
                <w:b/>
                <w:sz w:val="22"/>
                <w:szCs w:val="22"/>
                <w:lang w:val="fr-CH"/>
              </w:rPr>
              <w:t>2</w:t>
            </w:r>
            <w:r w:rsidR="005F42E8" w:rsidRPr="00506C71">
              <w:rPr>
                <w:sz w:val="22"/>
                <w:szCs w:val="22"/>
                <w:lang w:val="fr-CH"/>
              </w:rPr>
              <w:t xml:space="preserve"> Aucun émolument n’est perçu pour le traitement de la demande de bon</w:t>
            </w:r>
            <w:r w:rsidR="007F545E" w:rsidRPr="00506C71">
              <w:rPr>
                <w:sz w:val="22"/>
                <w:szCs w:val="22"/>
                <w:lang w:val="fr-CH"/>
              </w:rPr>
              <w:t>s</w:t>
            </w:r>
            <w:r w:rsidR="005F42E8" w:rsidRPr="00506C71">
              <w:rPr>
                <w:sz w:val="22"/>
                <w:szCs w:val="22"/>
                <w:lang w:val="fr-CH"/>
              </w:rPr>
              <w:t xml:space="preserve"> de garde</w:t>
            </w:r>
            <w:r w:rsidR="0062611E" w:rsidRPr="00EB3359">
              <w:rPr>
                <w:rStyle w:val="Funotenzeichen"/>
                <w:sz w:val="22"/>
                <w:szCs w:val="22"/>
                <w:lang w:val="fr-CH"/>
              </w:rPr>
              <w:footnoteReference w:id="13"/>
            </w:r>
            <w:r w:rsidR="005F42E8" w:rsidRPr="00EB3359">
              <w:rPr>
                <w:sz w:val="22"/>
                <w:szCs w:val="22"/>
                <w:lang w:val="fr-CH"/>
              </w:rPr>
              <w:t>.</w:t>
            </w:r>
          </w:p>
        </w:tc>
      </w:tr>
      <w:tr w:rsidR="00A26E08" w:rsidRPr="00B8595A" w14:paraId="603578B6" w14:textId="77777777" w:rsidTr="005C4236">
        <w:tc>
          <w:tcPr>
            <w:tcW w:w="2093" w:type="dxa"/>
          </w:tcPr>
          <w:p w14:paraId="688F9817" w14:textId="77777777" w:rsidR="00A26E08" w:rsidRPr="00EB3359" w:rsidRDefault="00A26E08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67CA8AA3" w14:textId="77777777" w:rsidR="00A26E08" w:rsidRPr="002C16F5" w:rsidRDefault="00A26E08">
            <w:pPr>
              <w:rPr>
                <w:sz w:val="22"/>
                <w:szCs w:val="22"/>
                <w:lang w:val="fr-CH"/>
              </w:rPr>
            </w:pPr>
          </w:p>
        </w:tc>
      </w:tr>
      <w:tr w:rsidR="00A26E08" w:rsidRPr="00B8595A" w14:paraId="6122B366" w14:textId="77777777" w:rsidTr="005C4236">
        <w:tc>
          <w:tcPr>
            <w:tcW w:w="2093" w:type="dxa"/>
          </w:tcPr>
          <w:p w14:paraId="7E64D4BA" w14:textId="77777777" w:rsidR="00A26E08" w:rsidRPr="00EB3359" w:rsidRDefault="006A2896">
            <w:pPr>
              <w:rPr>
                <w:sz w:val="18"/>
                <w:szCs w:val="18"/>
                <w:lang w:val="fr-CH"/>
              </w:rPr>
            </w:pPr>
            <w:r w:rsidRPr="00EB3359">
              <w:rPr>
                <w:sz w:val="18"/>
                <w:szCs w:val="18"/>
                <w:lang w:val="fr-CH"/>
              </w:rPr>
              <w:t>Entrée en vigueur</w:t>
            </w:r>
          </w:p>
        </w:tc>
        <w:tc>
          <w:tcPr>
            <w:tcW w:w="7195" w:type="dxa"/>
          </w:tcPr>
          <w:p w14:paraId="7D41D203" w14:textId="193D2446" w:rsidR="00A26E08" w:rsidRPr="00506C71" w:rsidRDefault="008A6595" w:rsidP="000B2694">
            <w:pPr>
              <w:rPr>
                <w:sz w:val="22"/>
                <w:szCs w:val="22"/>
                <w:lang w:val="fr-CH"/>
              </w:rPr>
            </w:pPr>
            <w:r w:rsidRPr="002C16F5">
              <w:rPr>
                <w:b/>
                <w:sz w:val="22"/>
                <w:szCs w:val="22"/>
                <w:lang w:val="fr-CH"/>
              </w:rPr>
              <w:t>Art. 1</w:t>
            </w:r>
            <w:r w:rsidR="00445DE1" w:rsidRPr="002C16F5">
              <w:rPr>
                <w:b/>
                <w:sz w:val="22"/>
                <w:szCs w:val="22"/>
                <w:lang w:val="fr-CH"/>
              </w:rPr>
              <w:t>3</w:t>
            </w:r>
            <w:r w:rsidR="00B61772" w:rsidRPr="002C16F5">
              <w:rPr>
                <w:sz w:val="22"/>
                <w:szCs w:val="22"/>
                <w:lang w:val="fr-CH"/>
              </w:rPr>
              <w:t xml:space="preserve"> </w:t>
            </w:r>
            <w:r w:rsidR="005F42E8" w:rsidRPr="002C16F5">
              <w:rPr>
                <w:sz w:val="22"/>
                <w:szCs w:val="22"/>
                <w:lang w:val="fr-CH"/>
              </w:rPr>
              <w:t>Le présent règlement entre en vigueur le</w:t>
            </w:r>
            <w:r w:rsidR="00B61772" w:rsidRPr="00FA3F09">
              <w:rPr>
                <w:sz w:val="22"/>
                <w:szCs w:val="22"/>
                <w:lang w:val="fr-CH"/>
              </w:rPr>
              <w:t xml:space="preserve"> </w:t>
            </w:r>
            <w:r w:rsidR="00B61772" w:rsidRPr="00413BDA">
              <w:rPr>
                <w:sz w:val="22"/>
                <w:szCs w:val="22"/>
                <w:lang w:val="fr-CH"/>
              </w:rPr>
              <w:t>…………</w:t>
            </w:r>
            <w:r w:rsidR="000B2694" w:rsidRPr="00413BDA">
              <w:rPr>
                <w:sz w:val="22"/>
                <w:szCs w:val="22"/>
                <w:lang w:val="fr-CH"/>
              </w:rPr>
              <w:t>.</w:t>
            </w:r>
          </w:p>
        </w:tc>
      </w:tr>
      <w:tr w:rsidR="00A26E08" w:rsidRPr="00B8595A" w14:paraId="237B9531" w14:textId="77777777" w:rsidTr="005C4236">
        <w:tc>
          <w:tcPr>
            <w:tcW w:w="2093" w:type="dxa"/>
          </w:tcPr>
          <w:p w14:paraId="0B494911" w14:textId="77777777" w:rsidR="00A26E08" w:rsidRPr="00EB3359" w:rsidRDefault="00A26E08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7195" w:type="dxa"/>
          </w:tcPr>
          <w:p w14:paraId="1584D211" w14:textId="77777777" w:rsidR="00A26E08" w:rsidRPr="002C16F5" w:rsidRDefault="00A26E08">
            <w:pPr>
              <w:rPr>
                <w:sz w:val="22"/>
                <w:szCs w:val="22"/>
                <w:lang w:val="fr-CH"/>
              </w:rPr>
            </w:pPr>
          </w:p>
        </w:tc>
      </w:tr>
    </w:tbl>
    <w:p w14:paraId="79B36FDC" w14:textId="5A839BD6" w:rsidR="00B61772" w:rsidRPr="00475D0D" w:rsidRDefault="00915240" w:rsidP="00345864">
      <w:pPr>
        <w:spacing w:before="480" w:after="240"/>
        <w:rPr>
          <w:lang w:val="fr-CH"/>
        </w:rPr>
      </w:pPr>
      <w:r w:rsidRPr="00EB3359">
        <w:rPr>
          <w:lang w:val="fr-CH"/>
        </w:rPr>
        <w:t>Arrêté</w:t>
      </w:r>
      <w:r w:rsidR="005F42E8" w:rsidRPr="00EB3359">
        <w:rPr>
          <w:lang w:val="fr-CH"/>
        </w:rPr>
        <w:t xml:space="preserve"> par l’assemblée communale </w:t>
      </w:r>
      <w:r w:rsidRPr="00EB3359">
        <w:rPr>
          <w:lang w:val="fr-CH"/>
        </w:rPr>
        <w:t>/</w:t>
      </w:r>
      <w:r w:rsidR="005F42E8" w:rsidRPr="004333F9">
        <w:rPr>
          <w:lang w:val="fr-CH"/>
        </w:rPr>
        <w:t xml:space="preserve"> le parlement communal en date du </w:t>
      </w:r>
      <w:r w:rsidR="005F42E8" w:rsidRPr="00413BDA">
        <w:rPr>
          <w:lang w:val="fr-CH"/>
        </w:rPr>
        <w:t>………..</w:t>
      </w:r>
      <w:r w:rsidR="00B61772" w:rsidRPr="00413BDA">
        <w:rPr>
          <w:lang w:val="fr-CH"/>
        </w:rPr>
        <w:t>.</w:t>
      </w:r>
    </w:p>
    <w:p w14:paraId="73D74833" w14:textId="77777777" w:rsidR="00B61772" w:rsidRPr="002C16F5" w:rsidRDefault="006A2896">
      <w:pPr>
        <w:rPr>
          <w:lang w:val="fr-CH"/>
        </w:rPr>
      </w:pPr>
      <w:r w:rsidRPr="002C16F5">
        <w:rPr>
          <w:lang w:val="fr-CH"/>
        </w:rPr>
        <w:t>Signatures</w:t>
      </w:r>
    </w:p>
    <w:p w14:paraId="36D55B30" w14:textId="079B3AF7" w:rsidR="00B61772" w:rsidRPr="00506C71" w:rsidRDefault="008D3595" w:rsidP="00345864">
      <w:pPr>
        <w:spacing w:before="240" w:after="100" w:afterAutospacing="1"/>
        <w:rPr>
          <w:lang w:val="fr-CH"/>
        </w:rPr>
      </w:pPr>
      <w:r w:rsidRPr="00506C71">
        <w:rPr>
          <w:lang w:val="fr-CH"/>
        </w:rPr>
        <w:t>Certificat de dépôt</w:t>
      </w:r>
    </w:p>
    <w:p w14:paraId="36FAEFB7" w14:textId="29AFB0A1" w:rsidR="006F00CB" w:rsidRPr="00506C71" w:rsidRDefault="00974AFC" w:rsidP="00345864">
      <w:pPr>
        <w:spacing w:after="240"/>
        <w:rPr>
          <w:lang w:val="fr-CH"/>
        </w:rPr>
      </w:pPr>
      <w:r w:rsidRPr="00506C71">
        <w:rPr>
          <w:lang w:val="fr-CH"/>
        </w:rPr>
        <w:t xml:space="preserve">Certificat de publication </w:t>
      </w:r>
    </w:p>
    <w:p w14:paraId="53CB21EF" w14:textId="77777777" w:rsidR="006F00CB" w:rsidRPr="00506C71" w:rsidRDefault="006F00CB">
      <w:pPr>
        <w:rPr>
          <w:sz w:val="16"/>
          <w:szCs w:val="16"/>
          <w:lang w:val="fr-CH"/>
        </w:rPr>
      </w:pPr>
    </w:p>
    <w:p w14:paraId="32E1C197" w14:textId="1C129762" w:rsidR="006F00CB" w:rsidRPr="00EB3359" w:rsidRDefault="00AD25CC">
      <w:pPr>
        <w:rPr>
          <w:sz w:val="16"/>
          <w:szCs w:val="16"/>
          <w:lang w:val="fr-CH"/>
        </w:rPr>
      </w:pPr>
      <w:r w:rsidRPr="00506C71">
        <w:rPr>
          <w:sz w:val="16"/>
          <w:szCs w:val="16"/>
          <w:lang w:val="fr-CH"/>
        </w:rPr>
        <w:t>12.8</w:t>
      </w:r>
      <w:r w:rsidR="006F00CB" w:rsidRPr="00506C71">
        <w:rPr>
          <w:sz w:val="16"/>
          <w:szCs w:val="16"/>
          <w:lang w:val="fr-CH"/>
        </w:rPr>
        <w:t>.19/</w:t>
      </w:r>
      <w:r w:rsidR="0036574E" w:rsidRPr="00506C71">
        <w:rPr>
          <w:sz w:val="16"/>
          <w:szCs w:val="16"/>
          <w:lang w:val="fr-CH"/>
        </w:rPr>
        <w:t>SAP</w:t>
      </w:r>
      <w:r w:rsidR="006F00CB" w:rsidRPr="00506C71">
        <w:rPr>
          <w:sz w:val="16"/>
          <w:szCs w:val="16"/>
          <w:lang w:val="fr-CH"/>
        </w:rPr>
        <w:t>/</w:t>
      </w:r>
      <w:r w:rsidR="0036574E" w:rsidRPr="00506C71">
        <w:rPr>
          <w:sz w:val="16"/>
          <w:szCs w:val="16"/>
          <w:lang w:val="fr-CH"/>
        </w:rPr>
        <w:t>ACB</w:t>
      </w:r>
      <w:r w:rsidR="002F74DB">
        <w:rPr>
          <w:sz w:val="16"/>
          <w:szCs w:val="16"/>
          <w:lang w:val="fr-CH"/>
        </w:rPr>
        <w:t>. Modifications le 29.08</w:t>
      </w:r>
      <w:bookmarkStart w:id="0" w:name="_GoBack"/>
      <w:bookmarkEnd w:id="0"/>
      <w:r w:rsidR="00506C71">
        <w:rPr>
          <w:sz w:val="16"/>
          <w:szCs w:val="16"/>
          <w:lang w:val="fr-CH"/>
        </w:rPr>
        <w:t>.2022/DSSI</w:t>
      </w:r>
    </w:p>
    <w:sectPr w:rsidR="006F00CB" w:rsidRPr="00EB3359" w:rsidSect="00131A45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B9AF" w14:textId="77777777" w:rsidR="00815827" w:rsidRDefault="00815827" w:rsidP="00385EAC">
      <w:r>
        <w:separator/>
      </w:r>
    </w:p>
  </w:endnote>
  <w:endnote w:type="continuationSeparator" w:id="0">
    <w:p w14:paraId="2FBEAFE6" w14:textId="77777777" w:rsidR="00815827" w:rsidRDefault="00815827" w:rsidP="0038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43D49" w14:textId="77777777" w:rsidR="00815827" w:rsidRDefault="00815827" w:rsidP="00385EAC">
      <w:r>
        <w:separator/>
      </w:r>
    </w:p>
  </w:footnote>
  <w:footnote w:type="continuationSeparator" w:id="0">
    <w:p w14:paraId="21153C64" w14:textId="77777777" w:rsidR="00815827" w:rsidRDefault="00815827" w:rsidP="00385EAC">
      <w:r>
        <w:continuationSeparator/>
      </w:r>
    </w:p>
  </w:footnote>
  <w:footnote w:id="1">
    <w:p w14:paraId="3ED589F7" w14:textId="42C9533F" w:rsidR="00FB0B03" w:rsidRPr="00506C71" w:rsidRDefault="00FB0B03">
      <w:pPr>
        <w:pStyle w:val="Funotentext"/>
        <w:rPr>
          <w:lang w:val="fr-CH"/>
        </w:rPr>
      </w:pPr>
      <w:r w:rsidRPr="00506C71">
        <w:rPr>
          <w:rStyle w:val="Funotenzeichen"/>
          <w:lang w:val="fr-CH"/>
        </w:rPr>
        <w:footnoteRef/>
      </w:r>
      <w:r w:rsidRPr="00506C71">
        <w:rPr>
          <w:lang w:val="fr-CH"/>
        </w:rPr>
        <w:t xml:space="preserve"> </w:t>
      </w:r>
      <w:r w:rsidR="00F35A1F" w:rsidRPr="00506C71">
        <w:rPr>
          <w:lang w:val="fr-CH"/>
        </w:rPr>
        <w:t>Ordonnance du 2</w:t>
      </w:r>
      <w:r w:rsidR="009D683D" w:rsidRPr="00506C71">
        <w:rPr>
          <w:lang w:val="fr-CH"/>
        </w:rPr>
        <w:t>4</w:t>
      </w:r>
      <w:r w:rsidR="00F35A1F" w:rsidRPr="00EB3359">
        <w:rPr>
          <w:lang w:val="fr-CH"/>
        </w:rPr>
        <w:t> novembre </w:t>
      </w:r>
      <w:r w:rsidR="009D683D" w:rsidRPr="00EB3359">
        <w:rPr>
          <w:lang w:val="fr-CH"/>
        </w:rPr>
        <w:t>2021 sur les programmes de soutien à l’enfance, à la jeunesse et à la famille</w:t>
      </w:r>
      <w:r w:rsidR="00F35A1F" w:rsidRPr="00E32593">
        <w:rPr>
          <w:lang w:val="fr-CH"/>
        </w:rPr>
        <w:t xml:space="preserve"> </w:t>
      </w:r>
      <w:r w:rsidRPr="002C16F5">
        <w:rPr>
          <w:lang w:val="fr-CH"/>
        </w:rPr>
        <w:t>(</w:t>
      </w:r>
      <w:r w:rsidR="00F35A1F" w:rsidRPr="00506C71">
        <w:rPr>
          <w:lang w:val="fr-CH"/>
        </w:rPr>
        <w:t>RSB</w:t>
      </w:r>
      <w:r w:rsidR="002F3010" w:rsidRPr="00506C71">
        <w:rPr>
          <w:lang w:val="fr-CH"/>
        </w:rPr>
        <w:t> </w:t>
      </w:r>
      <w:r w:rsidRPr="00506C71">
        <w:rPr>
          <w:lang w:val="fr-CH"/>
        </w:rPr>
        <w:t>860.</w:t>
      </w:r>
      <w:r w:rsidR="009D683D" w:rsidRPr="00506C71">
        <w:rPr>
          <w:lang w:val="fr-CH"/>
        </w:rPr>
        <w:t>22</w:t>
      </w:r>
      <w:r w:rsidRPr="00506C71">
        <w:rPr>
          <w:lang w:val="fr-CH"/>
        </w:rPr>
        <w:t>)</w:t>
      </w:r>
    </w:p>
  </w:footnote>
  <w:footnote w:id="2">
    <w:p w14:paraId="211A9B74" w14:textId="14DEA26B" w:rsidR="005858EF" w:rsidRPr="00506C71" w:rsidRDefault="005858EF">
      <w:pPr>
        <w:pStyle w:val="Funotentext"/>
        <w:rPr>
          <w:lang w:val="fr-CH"/>
        </w:rPr>
      </w:pPr>
      <w:r w:rsidRPr="00EB3359">
        <w:rPr>
          <w:rStyle w:val="Funotenzeichen"/>
          <w:lang w:val="fr-CH"/>
        </w:rPr>
        <w:footnoteRef/>
      </w:r>
      <w:r w:rsidRPr="00EB3359">
        <w:rPr>
          <w:lang w:val="fr-CH"/>
        </w:rPr>
        <w:t xml:space="preserve"> </w:t>
      </w:r>
      <w:r w:rsidR="0036574E" w:rsidRPr="00EB3359">
        <w:rPr>
          <w:lang w:val="fr-CH"/>
        </w:rPr>
        <w:t xml:space="preserve">Si le règlement ne contient aucune disposition </w:t>
      </w:r>
      <w:r w:rsidR="0038311A" w:rsidRPr="00EB3359">
        <w:rPr>
          <w:lang w:val="fr-CH"/>
        </w:rPr>
        <w:t>sur le groupe cible</w:t>
      </w:r>
      <w:r w:rsidR="0036574E" w:rsidRPr="00EB3359">
        <w:rPr>
          <w:lang w:val="fr-CH"/>
        </w:rPr>
        <w:t xml:space="preserve">, </w:t>
      </w:r>
      <w:r w:rsidR="009F14CC" w:rsidRPr="00EB3359">
        <w:rPr>
          <w:lang w:val="fr-CH"/>
        </w:rPr>
        <w:t xml:space="preserve">l’âge donnant droit à </w:t>
      </w:r>
      <w:r w:rsidR="001852F5" w:rsidRPr="004333F9">
        <w:rPr>
          <w:lang w:val="fr-CH"/>
        </w:rPr>
        <w:t>des</w:t>
      </w:r>
      <w:r w:rsidR="009F14CC" w:rsidRPr="004333F9">
        <w:rPr>
          <w:lang w:val="fr-CH"/>
        </w:rPr>
        <w:t xml:space="preserve"> bon</w:t>
      </w:r>
      <w:r w:rsidR="001852F5" w:rsidRPr="004333F9">
        <w:rPr>
          <w:lang w:val="fr-CH"/>
        </w:rPr>
        <w:t>s</w:t>
      </w:r>
      <w:r w:rsidR="009F14CC" w:rsidRPr="004333F9">
        <w:rPr>
          <w:lang w:val="fr-CH"/>
        </w:rPr>
        <w:t xml:space="preserve"> de garde est défini selon l’art</w:t>
      </w:r>
      <w:r w:rsidR="008A45EB" w:rsidRPr="00E32593">
        <w:rPr>
          <w:lang w:val="fr-CH"/>
        </w:rPr>
        <w:t>icle</w:t>
      </w:r>
      <w:r w:rsidR="00DB2610" w:rsidRPr="002C16F5">
        <w:rPr>
          <w:lang w:val="fr-CH"/>
        </w:rPr>
        <w:t> </w:t>
      </w:r>
      <w:r w:rsidR="0038311A" w:rsidRPr="00506C71">
        <w:rPr>
          <w:lang w:val="fr-CH"/>
        </w:rPr>
        <w:t>30</w:t>
      </w:r>
      <w:r w:rsidR="009F14CC" w:rsidRPr="00506C71">
        <w:rPr>
          <w:lang w:val="fr-CH"/>
        </w:rPr>
        <w:t>, al</w:t>
      </w:r>
      <w:r w:rsidR="008A45EB" w:rsidRPr="00506C71">
        <w:rPr>
          <w:lang w:val="fr-CH"/>
        </w:rPr>
        <w:t>inéa</w:t>
      </w:r>
      <w:r w:rsidR="002F3010" w:rsidRPr="00506C71">
        <w:rPr>
          <w:lang w:val="fr-CH"/>
        </w:rPr>
        <w:t> </w:t>
      </w:r>
      <w:r w:rsidR="0038311A" w:rsidRPr="00506C71">
        <w:rPr>
          <w:lang w:val="fr-CH"/>
        </w:rPr>
        <w:t>1</w:t>
      </w:r>
      <w:r w:rsidR="002F3010" w:rsidRPr="00506C71">
        <w:rPr>
          <w:lang w:val="fr-CH"/>
        </w:rPr>
        <w:t> </w:t>
      </w:r>
      <w:r w:rsidR="0038311A" w:rsidRPr="00506C71">
        <w:rPr>
          <w:lang w:val="fr-CH"/>
        </w:rPr>
        <w:t xml:space="preserve">OEJF </w:t>
      </w:r>
      <w:r w:rsidRPr="00506C71">
        <w:rPr>
          <w:lang w:val="fr-CH"/>
        </w:rPr>
        <w:t>(</w:t>
      </w:r>
      <w:r w:rsidR="0038311A" w:rsidRPr="00506C71">
        <w:rPr>
          <w:lang w:val="fr-CH"/>
        </w:rPr>
        <w:t>option </w:t>
      </w:r>
      <w:r w:rsidRPr="00506C71">
        <w:rPr>
          <w:lang w:val="fr-CH"/>
        </w:rPr>
        <w:t>1).</w:t>
      </w:r>
      <w:r w:rsidR="007A1C76" w:rsidRPr="00506C71">
        <w:rPr>
          <w:lang w:val="fr-CH"/>
        </w:rPr>
        <w:t xml:space="preserve"> La commune </w:t>
      </w:r>
      <w:r w:rsidR="003F6915" w:rsidRPr="00506C71">
        <w:rPr>
          <w:rFonts w:ascii="Arial Unicode MS" w:hAnsi="Arial Unicode MS"/>
          <w:color w:val="333333"/>
          <w:shd w:val="clear" w:color="auto" w:fill="FFFFFF"/>
          <w:lang w:val="fr-CH"/>
        </w:rPr>
        <w:t>peut restreindre le groupe cible en limitant le nombre d’enfants d’âge scolaire</w:t>
      </w:r>
      <w:r w:rsidR="003F6915" w:rsidRPr="00AB0092">
        <w:rPr>
          <w:rFonts w:ascii="Arial Unicode MS" w:hAnsi="Arial Unicode MS"/>
          <w:color w:val="333333"/>
          <w:shd w:val="clear" w:color="auto" w:fill="FFFFFF"/>
          <w:lang w:val="fr-CH"/>
        </w:rPr>
        <w:t xml:space="preserve"> (art. 30, al. 2 OEJF). </w:t>
      </w:r>
      <w:r w:rsidR="0038311A" w:rsidRPr="00EB3359">
        <w:rPr>
          <w:lang w:val="fr-CH"/>
        </w:rPr>
        <w:t>L’option </w:t>
      </w:r>
      <w:r w:rsidR="003B6E44" w:rsidRPr="00EB3359">
        <w:rPr>
          <w:lang w:val="fr-CH"/>
        </w:rPr>
        <w:t xml:space="preserve">2 </w:t>
      </w:r>
      <w:r w:rsidR="006162F2" w:rsidRPr="00EB3359">
        <w:rPr>
          <w:lang w:val="fr-CH"/>
        </w:rPr>
        <w:t xml:space="preserve">est un exemple d’une telle limitation. </w:t>
      </w:r>
      <w:r w:rsidR="0036183C" w:rsidRPr="00E32593">
        <w:rPr>
          <w:lang w:val="fr-CH"/>
        </w:rPr>
        <w:t>Actuellement, t</w:t>
      </w:r>
      <w:r w:rsidR="006162F2" w:rsidRPr="002C16F5">
        <w:rPr>
          <w:lang w:val="fr-CH"/>
        </w:rPr>
        <w:t xml:space="preserve">outes les options ne sont pas </w:t>
      </w:r>
      <w:r w:rsidR="0036183C" w:rsidRPr="00506C71">
        <w:rPr>
          <w:lang w:val="fr-CH"/>
        </w:rPr>
        <w:t>opéra</w:t>
      </w:r>
      <w:r w:rsidR="006162F2" w:rsidRPr="00506C71">
        <w:rPr>
          <w:lang w:val="fr-CH"/>
        </w:rPr>
        <w:t xml:space="preserve">tionnelles dans </w:t>
      </w:r>
      <w:r w:rsidR="005F70FC" w:rsidRPr="00506C71">
        <w:rPr>
          <w:lang w:val="fr-CH"/>
        </w:rPr>
        <w:t xml:space="preserve">l’application </w:t>
      </w:r>
      <w:r w:rsidR="006162F2" w:rsidRPr="00506C71">
        <w:rPr>
          <w:lang w:val="fr-CH"/>
        </w:rPr>
        <w:t>kiBon</w:t>
      </w:r>
      <w:r w:rsidR="00FB7277" w:rsidRPr="00506C71">
        <w:rPr>
          <w:lang w:val="fr-CH"/>
        </w:rPr>
        <w:t>.</w:t>
      </w:r>
    </w:p>
  </w:footnote>
  <w:footnote w:id="3">
    <w:p w14:paraId="00389C81" w14:textId="25A8AEAF" w:rsidR="004528A3" w:rsidRPr="004333F9" w:rsidRDefault="004528A3">
      <w:pPr>
        <w:pStyle w:val="Funotentext"/>
        <w:rPr>
          <w:lang w:val="fr-CH"/>
        </w:rPr>
      </w:pPr>
      <w:r w:rsidRPr="00AB0092">
        <w:rPr>
          <w:rStyle w:val="Funotenzeichen"/>
          <w:lang w:val="fr-CH"/>
        </w:rPr>
        <w:footnoteRef/>
      </w:r>
      <w:r w:rsidRPr="00EB3359">
        <w:rPr>
          <w:lang w:val="fr-CH"/>
        </w:rPr>
        <w:t xml:space="preserve"> Cet article </w:t>
      </w:r>
      <w:r w:rsidR="003F2C10" w:rsidRPr="00EB3359">
        <w:rPr>
          <w:lang w:val="fr-CH"/>
        </w:rPr>
        <w:t>ne se justifie que</w:t>
      </w:r>
      <w:r w:rsidRPr="00EB3359">
        <w:rPr>
          <w:lang w:val="fr-CH"/>
        </w:rPr>
        <w:t xml:space="preserve"> si une telle ordonnance </w:t>
      </w:r>
      <w:r w:rsidR="003F2C10" w:rsidRPr="00EB3359">
        <w:rPr>
          <w:lang w:val="fr-CH"/>
        </w:rPr>
        <w:t>fait défaut</w:t>
      </w:r>
      <w:r w:rsidRPr="004333F9">
        <w:rPr>
          <w:lang w:val="fr-CH"/>
        </w:rPr>
        <w:t>.</w:t>
      </w:r>
    </w:p>
  </w:footnote>
  <w:footnote w:id="4">
    <w:p w14:paraId="4A3A11B0" w14:textId="3C514BFF" w:rsidR="00B63A9E" w:rsidRPr="004333F9" w:rsidRDefault="00B63A9E" w:rsidP="00B63A9E">
      <w:pPr>
        <w:pStyle w:val="Funotentext"/>
        <w:rPr>
          <w:lang w:val="fr-CH"/>
        </w:rPr>
      </w:pPr>
      <w:r w:rsidRPr="00AB0092">
        <w:rPr>
          <w:rStyle w:val="Funotenzeichen"/>
          <w:lang w:val="fr-CH"/>
        </w:rPr>
        <w:footnoteRef/>
      </w:r>
      <w:r w:rsidRPr="00EB3359">
        <w:rPr>
          <w:lang w:val="fr-CH"/>
        </w:rPr>
        <w:t xml:space="preserve"> L’option 1 confère </w:t>
      </w:r>
      <w:r w:rsidR="00A1387D" w:rsidRPr="00EB3359">
        <w:rPr>
          <w:lang w:val="fr-CH"/>
        </w:rPr>
        <w:t xml:space="preserve">expressément </w:t>
      </w:r>
      <w:r w:rsidRPr="004333F9">
        <w:rPr>
          <w:lang w:val="fr-CH"/>
        </w:rPr>
        <w:t>un droit à des bons de garde</w:t>
      </w:r>
      <w:r w:rsidR="0036183C" w:rsidRPr="004333F9">
        <w:rPr>
          <w:lang w:val="fr-CH"/>
        </w:rPr>
        <w:t>. I</w:t>
      </w:r>
      <w:r w:rsidR="00A16640" w:rsidRPr="004333F9">
        <w:rPr>
          <w:lang w:val="fr-CH"/>
        </w:rPr>
        <w:t>l</w:t>
      </w:r>
      <w:r w:rsidR="00574E20" w:rsidRPr="004333F9">
        <w:rPr>
          <w:lang w:val="fr-CH"/>
        </w:rPr>
        <w:t xml:space="preserve"> ressort de l’option </w:t>
      </w:r>
      <w:r w:rsidRPr="004333F9">
        <w:rPr>
          <w:lang w:val="fr-CH"/>
        </w:rPr>
        <w:t xml:space="preserve">2 </w:t>
      </w:r>
      <w:r w:rsidR="00A16640" w:rsidRPr="00475D0D">
        <w:rPr>
          <w:lang w:val="fr-CH"/>
        </w:rPr>
        <w:t>qu’un tel</w:t>
      </w:r>
      <w:r w:rsidR="00574E20" w:rsidRPr="00475D0D">
        <w:rPr>
          <w:lang w:val="fr-CH"/>
        </w:rPr>
        <w:t xml:space="preserve"> droit </w:t>
      </w:r>
      <w:r w:rsidR="00A16640" w:rsidRPr="00E32593">
        <w:rPr>
          <w:lang w:val="fr-CH"/>
        </w:rPr>
        <w:t xml:space="preserve">n’existe </w:t>
      </w:r>
      <w:r w:rsidR="00A16640" w:rsidRPr="002C16F5">
        <w:rPr>
          <w:lang w:val="fr-CH"/>
        </w:rPr>
        <w:t>pas</w:t>
      </w:r>
      <w:r w:rsidR="00A16640" w:rsidRPr="00EB3359">
        <w:rPr>
          <w:lang w:val="fr-CH"/>
        </w:rPr>
        <w:t xml:space="preserve">, ce qui </w:t>
      </w:r>
      <w:r w:rsidR="00574E20" w:rsidRPr="00EB3359">
        <w:rPr>
          <w:lang w:val="fr-CH"/>
        </w:rPr>
        <w:t>n’est possible qu’en cas de contingentement des bons au sens de l’article 29 OE</w:t>
      </w:r>
      <w:r w:rsidR="00DB2610" w:rsidRPr="00EB3359">
        <w:rPr>
          <w:lang w:val="fr-CH"/>
        </w:rPr>
        <w:t>JF</w:t>
      </w:r>
      <w:r w:rsidRPr="00EB3359">
        <w:rPr>
          <w:lang w:val="fr-CH"/>
        </w:rPr>
        <w:t xml:space="preserve">. </w:t>
      </w:r>
      <w:r w:rsidR="002A5479" w:rsidRPr="00EB3359">
        <w:rPr>
          <w:lang w:val="fr-CH"/>
        </w:rPr>
        <w:t xml:space="preserve">Pour limiter les bons de garde, la commune doit respecter les conditions prévues à l’article 29, alinéa 2 OEJF et, conformément à l’article 29, </w:t>
      </w:r>
      <w:r w:rsidR="00FC7826" w:rsidRPr="00EB3359">
        <w:rPr>
          <w:lang w:val="fr-CH"/>
        </w:rPr>
        <w:t>alinéa </w:t>
      </w:r>
      <w:r w:rsidR="002A5479" w:rsidRPr="00EB3359">
        <w:rPr>
          <w:lang w:val="fr-CH"/>
        </w:rPr>
        <w:t>2, lettre </w:t>
      </w:r>
      <w:r w:rsidR="002A5479" w:rsidRPr="00AB0092">
        <w:rPr>
          <w:i/>
          <w:lang w:val="fr-CH"/>
        </w:rPr>
        <w:t>b</w:t>
      </w:r>
      <w:r w:rsidR="002A5479" w:rsidRPr="00F33494">
        <w:rPr>
          <w:lang w:val="fr-CH"/>
        </w:rPr>
        <w:t xml:space="preserve"> OEJF, </w:t>
      </w:r>
      <w:r w:rsidR="002A5479" w:rsidRPr="00AB0092">
        <w:rPr>
          <w:shd w:val="clear" w:color="auto" w:fill="FFFFFF"/>
          <w:lang w:val="fr-CH"/>
        </w:rPr>
        <w:t>édicter dans un règlement les modalités de contingentement, les critères de priorité appliqués et la procédure d’émission des bons de garde</w:t>
      </w:r>
      <w:r w:rsidRPr="00EB3359">
        <w:rPr>
          <w:lang w:val="fr-CH"/>
        </w:rPr>
        <w:t xml:space="preserve"> (</w:t>
      </w:r>
      <w:r w:rsidR="007D0013" w:rsidRPr="00EB3359">
        <w:rPr>
          <w:lang w:val="fr-CH"/>
        </w:rPr>
        <w:t>cf.</w:t>
      </w:r>
      <w:r w:rsidRPr="00EB3359">
        <w:rPr>
          <w:lang w:val="fr-CH"/>
        </w:rPr>
        <w:t xml:space="preserve"> </w:t>
      </w:r>
      <w:r w:rsidR="007D0013" w:rsidRPr="00EB3359">
        <w:rPr>
          <w:lang w:val="fr-CH"/>
        </w:rPr>
        <w:t>a</w:t>
      </w:r>
      <w:r w:rsidRPr="00EB3359">
        <w:rPr>
          <w:lang w:val="fr-CH"/>
        </w:rPr>
        <w:t>rt.</w:t>
      </w:r>
      <w:r w:rsidR="00FC7826" w:rsidRPr="00EB3359">
        <w:rPr>
          <w:lang w:val="fr-CH"/>
        </w:rPr>
        <w:t> </w:t>
      </w:r>
      <w:r w:rsidRPr="004333F9">
        <w:rPr>
          <w:lang w:val="fr-CH"/>
        </w:rPr>
        <w:t xml:space="preserve">6, 8 </w:t>
      </w:r>
      <w:r w:rsidR="007D0013" w:rsidRPr="004333F9">
        <w:rPr>
          <w:lang w:val="fr-CH"/>
        </w:rPr>
        <w:t>et</w:t>
      </w:r>
      <w:r w:rsidRPr="004333F9">
        <w:rPr>
          <w:lang w:val="fr-CH"/>
        </w:rPr>
        <w:t xml:space="preserve"> 9 </w:t>
      </w:r>
      <w:r w:rsidR="007D0013" w:rsidRPr="004333F9">
        <w:rPr>
          <w:lang w:val="fr-CH"/>
        </w:rPr>
        <w:t>du règlement type</w:t>
      </w:r>
      <w:r w:rsidRPr="004333F9">
        <w:rPr>
          <w:lang w:val="fr-CH"/>
        </w:rPr>
        <w:t>).</w:t>
      </w:r>
    </w:p>
  </w:footnote>
  <w:footnote w:id="5">
    <w:p w14:paraId="3690AFE5" w14:textId="1B366C6F" w:rsidR="0062611E" w:rsidRPr="00CF5076" w:rsidRDefault="0062611E" w:rsidP="0062611E">
      <w:pPr>
        <w:pStyle w:val="Funotentext"/>
        <w:rPr>
          <w:lang w:val="fr-CH"/>
        </w:rPr>
      </w:pPr>
      <w:r w:rsidRPr="00EB3359">
        <w:rPr>
          <w:rStyle w:val="Funotenzeichen"/>
          <w:lang w:val="fr-CH"/>
        </w:rPr>
        <w:footnoteRef/>
      </w:r>
      <w:r w:rsidRPr="00EB3359">
        <w:rPr>
          <w:lang w:val="fr-CH"/>
        </w:rPr>
        <w:t xml:space="preserve"> </w:t>
      </w:r>
      <w:r w:rsidR="00B30580" w:rsidRPr="00EB3359">
        <w:rPr>
          <w:lang w:val="fr-CH"/>
        </w:rPr>
        <w:t xml:space="preserve">Si la commune prévoit de limiter les bons, elle est tenue d’édicter des dispositions </w:t>
      </w:r>
      <w:r w:rsidR="00915240" w:rsidRPr="00EB3359">
        <w:rPr>
          <w:lang w:val="fr-CH"/>
        </w:rPr>
        <w:t>sur</w:t>
      </w:r>
      <w:r w:rsidR="00B30580" w:rsidRPr="00EB3359">
        <w:rPr>
          <w:lang w:val="fr-CH"/>
        </w:rPr>
        <w:t xml:space="preserve"> la gestion d’une éventuelle liste d’attente </w:t>
      </w:r>
      <w:r w:rsidR="00FC2FA4" w:rsidRPr="005663B6">
        <w:rPr>
          <w:lang w:val="fr-CH"/>
        </w:rPr>
        <w:t>(</w:t>
      </w:r>
      <w:r w:rsidR="00DE07E2" w:rsidRPr="005663B6">
        <w:rPr>
          <w:lang w:val="fr-CH"/>
        </w:rPr>
        <w:t>ordre de priorité</w:t>
      </w:r>
      <w:r w:rsidR="00FC2FA4" w:rsidRPr="005663B6">
        <w:rPr>
          <w:lang w:val="fr-CH"/>
        </w:rPr>
        <w:t>)</w:t>
      </w:r>
      <w:r w:rsidR="006B053E" w:rsidRPr="005663B6">
        <w:rPr>
          <w:lang w:val="fr-CH"/>
        </w:rPr>
        <w:t xml:space="preserve"> et de </w:t>
      </w:r>
      <w:r w:rsidR="006B053E" w:rsidRPr="00E32593">
        <w:rPr>
          <w:lang w:val="fr-CH"/>
        </w:rPr>
        <w:t xml:space="preserve">communiquer les règles applicables </w:t>
      </w:r>
      <w:r w:rsidR="006B053E" w:rsidRPr="002C16F5">
        <w:rPr>
          <w:lang w:val="fr-CH"/>
        </w:rPr>
        <w:t xml:space="preserve">pour </w:t>
      </w:r>
      <w:r w:rsidR="0036183C" w:rsidRPr="002C16F5">
        <w:rPr>
          <w:lang w:val="fr-CH"/>
        </w:rPr>
        <w:t>la</w:t>
      </w:r>
      <w:r w:rsidR="006B053E" w:rsidRPr="00506C71">
        <w:rPr>
          <w:lang w:val="fr-CH"/>
        </w:rPr>
        <w:t xml:space="preserve"> nouvelle période de validité avant </w:t>
      </w:r>
      <w:r w:rsidR="00CF5076">
        <w:rPr>
          <w:lang w:val="fr-CH"/>
        </w:rPr>
        <w:t>le début de chaque exercice</w:t>
      </w:r>
      <w:r w:rsidR="006B053E" w:rsidRPr="00CF5076">
        <w:rPr>
          <w:lang w:val="fr-CH"/>
        </w:rPr>
        <w:t xml:space="preserve"> (art. 29, al. 2, lit. </w:t>
      </w:r>
      <w:r w:rsidR="006B053E" w:rsidRPr="00AB0092">
        <w:rPr>
          <w:i/>
          <w:lang w:val="fr-CH"/>
        </w:rPr>
        <w:t>b</w:t>
      </w:r>
      <w:r w:rsidR="006B053E" w:rsidRPr="00CF5076">
        <w:rPr>
          <w:lang w:val="fr-CH"/>
        </w:rPr>
        <w:t xml:space="preserve"> et </w:t>
      </w:r>
      <w:r w:rsidR="006B053E" w:rsidRPr="00AB0092">
        <w:rPr>
          <w:i/>
          <w:lang w:val="fr-CH"/>
        </w:rPr>
        <w:t>c</w:t>
      </w:r>
      <w:r w:rsidR="006B053E" w:rsidRPr="00CF5076">
        <w:rPr>
          <w:lang w:val="fr-CH"/>
        </w:rPr>
        <w:t xml:space="preserve"> OEJF)</w:t>
      </w:r>
      <w:r w:rsidRPr="00CF5076">
        <w:rPr>
          <w:lang w:val="fr-CH"/>
        </w:rPr>
        <w:t xml:space="preserve">. </w:t>
      </w:r>
      <w:r w:rsidR="00B30580" w:rsidRPr="00CF5076">
        <w:rPr>
          <w:lang w:val="fr-CH"/>
        </w:rPr>
        <w:t>Si aucun contingent</w:t>
      </w:r>
      <w:r w:rsidR="009F3A7D" w:rsidRPr="00CF5076">
        <w:rPr>
          <w:lang w:val="fr-CH"/>
        </w:rPr>
        <w:t>ement</w:t>
      </w:r>
      <w:r w:rsidR="00B30580" w:rsidRPr="00CF5076">
        <w:rPr>
          <w:lang w:val="fr-CH"/>
        </w:rPr>
        <w:t xml:space="preserve"> n’est prévu, la commune </w:t>
      </w:r>
      <w:r w:rsidR="00CF5076">
        <w:rPr>
          <w:lang w:val="fr-CH"/>
        </w:rPr>
        <w:t>n’a</w:t>
      </w:r>
      <w:r w:rsidR="00B30580" w:rsidRPr="00CF5076">
        <w:rPr>
          <w:lang w:val="fr-CH"/>
        </w:rPr>
        <w:t xml:space="preserve"> rien</w:t>
      </w:r>
      <w:r w:rsidR="00CF5076">
        <w:rPr>
          <w:lang w:val="fr-CH"/>
        </w:rPr>
        <w:t xml:space="preserve"> à</w:t>
      </w:r>
      <w:r w:rsidR="00B30580" w:rsidRPr="00CF5076">
        <w:rPr>
          <w:lang w:val="fr-CH"/>
        </w:rPr>
        <w:t xml:space="preserve"> faire</w:t>
      </w:r>
      <w:r w:rsidR="00DE07E2" w:rsidRPr="00CF5076">
        <w:rPr>
          <w:lang w:val="fr-CH"/>
        </w:rPr>
        <w:t xml:space="preserve"> et les articles</w:t>
      </w:r>
      <w:r w:rsidR="00FB7277" w:rsidRPr="00CF5076">
        <w:rPr>
          <w:lang w:val="fr-CH"/>
        </w:rPr>
        <w:t> </w:t>
      </w:r>
      <w:r w:rsidR="00DE07E2" w:rsidRPr="00CF5076">
        <w:rPr>
          <w:lang w:val="fr-CH"/>
        </w:rPr>
        <w:t xml:space="preserve">6 à </w:t>
      </w:r>
      <w:r w:rsidR="006B053E" w:rsidRPr="00CF5076">
        <w:rPr>
          <w:lang w:val="fr-CH"/>
        </w:rPr>
        <w:t>9</w:t>
      </w:r>
      <w:r w:rsidR="00CF5076">
        <w:rPr>
          <w:lang w:val="fr-CH"/>
        </w:rPr>
        <w:t xml:space="preserve"> du </w:t>
      </w:r>
      <w:r w:rsidR="008F6A27">
        <w:rPr>
          <w:lang w:val="fr-CH"/>
        </w:rPr>
        <w:t>présent document</w:t>
      </w:r>
      <w:r w:rsidR="006B053E" w:rsidRPr="00CF5076">
        <w:rPr>
          <w:lang w:val="fr-CH"/>
        </w:rPr>
        <w:t xml:space="preserve"> </w:t>
      </w:r>
      <w:r w:rsidR="00DE07E2" w:rsidRPr="00CF5076">
        <w:rPr>
          <w:lang w:val="fr-CH"/>
        </w:rPr>
        <w:t>ne s’appliquent pas</w:t>
      </w:r>
      <w:r w:rsidR="00915240" w:rsidRPr="00CF5076">
        <w:rPr>
          <w:lang w:val="fr-CH"/>
        </w:rPr>
        <w:t xml:space="preserve">, d’où </w:t>
      </w:r>
      <w:r w:rsidR="00A83743" w:rsidRPr="00CF5076">
        <w:rPr>
          <w:lang w:val="fr-CH"/>
        </w:rPr>
        <w:t>une réduction de</w:t>
      </w:r>
      <w:r w:rsidR="00B30580" w:rsidRPr="00CF5076">
        <w:rPr>
          <w:lang w:val="fr-CH"/>
        </w:rPr>
        <w:t xml:space="preserve"> la charge administrative. Le canton cofinance tous les bons émis par les communes sans imposer de restriction</w:t>
      </w:r>
      <w:r w:rsidR="0020097B" w:rsidRPr="00CF5076">
        <w:rPr>
          <w:lang w:val="fr-CH"/>
        </w:rPr>
        <w:t>.</w:t>
      </w:r>
    </w:p>
  </w:footnote>
  <w:footnote w:id="6">
    <w:p w14:paraId="67B8B530" w14:textId="5EC8D880" w:rsidR="00445DE1" w:rsidRPr="00F33494" w:rsidRDefault="00445DE1">
      <w:pPr>
        <w:pStyle w:val="Funotentext"/>
        <w:rPr>
          <w:color w:val="000000" w:themeColor="text1"/>
          <w:lang w:val="fr-CH"/>
        </w:rPr>
      </w:pPr>
      <w:r w:rsidRPr="00EB3359">
        <w:rPr>
          <w:rStyle w:val="Funotenzeichen"/>
          <w:lang w:val="fr-CH"/>
        </w:rPr>
        <w:footnoteRef/>
      </w:r>
      <w:r w:rsidRPr="00EB3359">
        <w:rPr>
          <w:lang w:val="fr-CH"/>
        </w:rPr>
        <w:t xml:space="preserve"> </w:t>
      </w:r>
      <w:r w:rsidR="00A83743" w:rsidRPr="00EB3359">
        <w:rPr>
          <w:lang w:val="fr-CH"/>
        </w:rPr>
        <w:t xml:space="preserve">Les documents requis découlent en grande partie des dispositions de </w:t>
      </w:r>
      <w:r w:rsidR="006B053E" w:rsidRPr="00EB3359">
        <w:rPr>
          <w:lang w:val="fr-CH"/>
        </w:rPr>
        <w:t>l’OEJF</w:t>
      </w:r>
      <w:r w:rsidRPr="00EB3359">
        <w:rPr>
          <w:lang w:val="fr-CH"/>
        </w:rPr>
        <w:t xml:space="preserve">. </w:t>
      </w:r>
      <w:r w:rsidR="008A45EB" w:rsidRPr="00EB3359">
        <w:rPr>
          <w:lang w:val="fr-CH"/>
        </w:rPr>
        <w:t>La commune</w:t>
      </w:r>
      <w:r w:rsidR="00EB787E" w:rsidRPr="004333F9">
        <w:rPr>
          <w:lang w:val="fr-CH"/>
        </w:rPr>
        <w:t xml:space="preserve"> </w:t>
      </w:r>
      <w:r w:rsidR="00915240" w:rsidRPr="004333F9">
        <w:rPr>
          <w:lang w:val="fr-CH"/>
        </w:rPr>
        <w:t>peut aussi</w:t>
      </w:r>
      <w:r w:rsidR="00EB787E" w:rsidRPr="00F33494">
        <w:rPr>
          <w:lang w:val="fr-CH"/>
        </w:rPr>
        <w:t xml:space="preserve"> décider que les documents ne doivent pas tous être remis </w:t>
      </w:r>
      <w:r w:rsidR="00915240" w:rsidRPr="00F33494">
        <w:rPr>
          <w:lang w:val="fr-CH"/>
        </w:rPr>
        <w:t>au stade de</w:t>
      </w:r>
      <w:r w:rsidR="00EB787E" w:rsidRPr="00F33494">
        <w:rPr>
          <w:lang w:val="fr-CH"/>
        </w:rPr>
        <w:t xml:space="preserve"> la </w:t>
      </w:r>
      <w:r w:rsidR="00A155DF" w:rsidRPr="00F33494">
        <w:rPr>
          <w:lang w:val="fr-CH"/>
        </w:rPr>
        <w:t>garantie</w:t>
      </w:r>
      <w:r w:rsidR="00EB787E" w:rsidRPr="00F33494">
        <w:rPr>
          <w:lang w:val="fr-CH"/>
        </w:rPr>
        <w:t xml:space="preserve"> préalable visée </w:t>
      </w:r>
      <w:r w:rsidR="00EB787E" w:rsidRPr="00F33494">
        <w:rPr>
          <w:color w:val="000000" w:themeColor="text1"/>
          <w:lang w:val="fr-CH"/>
        </w:rPr>
        <w:t>à l’article 8, alinéa </w:t>
      </w:r>
      <w:r w:rsidR="00AA0962" w:rsidRPr="00F33494">
        <w:rPr>
          <w:color w:val="000000" w:themeColor="text1"/>
          <w:lang w:val="fr-CH"/>
        </w:rPr>
        <w:t>2.</w:t>
      </w:r>
    </w:p>
  </w:footnote>
  <w:footnote w:id="7">
    <w:p w14:paraId="340BD9D7" w14:textId="116DC45E" w:rsidR="00C479F7" w:rsidRPr="00F33494" w:rsidRDefault="00C479F7" w:rsidP="00C479F7">
      <w:pPr>
        <w:pStyle w:val="Funotentext"/>
        <w:rPr>
          <w:color w:val="000000" w:themeColor="text1"/>
          <w:lang w:val="fr-CH"/>
        </w:rPr>
      </w:pPr>
      <w:r w:rsidRPr="00EB3359">
        <w:rPr>
          <w:rStyle w:val="Funotenzeichen"/>
          <w:color w:val="000000" w:themeColor="text1"/>
          <w:lang w:val="fr-CH"/>
        </w:rPr>
        <w:footnoteRef/>
      </w:r>
      <w:r w:rsidRPr="00EB3359">
        <w:rPr>
          <w:color w:val="000000" w:themeColor="text1"/>
          <w:lang w:val="fr-CH"/>
        </w:rPr>
        <w:t xml:space="preserve"> La commune peut adapter les </w:t>
      </w:r>
      <w:r w:rsidR="00915240" w:rsidRPr="00EB3359">
        <w:rPr>
          <w:color w:val="000000" w:themeColor="text1"/>
          <w:lang w:val="fr-CH"/>
        </w:rPr>
        <w:t>délais figurant à</w:t>
      </w:r>
      <w:r w:rsidR="00AA0962" w:rsidRPr="00EB3359">
        <w:rPr>
          <w:color w:val="000000" w:themeColor="text1"/>
          <w:lang w:val="fr-CH"/>
        </w:rPr>
        <w:t xml:space="preserve"> l’article</w:t>
      </w:r>
      <w:r w:rsidR="005F70FC" w:rsidRPr="00EB3359">
        <w:rPr>
          <w:color w:val="000000" w:themeColor="text1"/>
          <w:lang w:val="fr-CH"/>
        </w:rPr>
        <w:t> </w:t>
      </w:r>
      <w:r w:rsidR="00AA0962" w:rsidRPr="00EB3359">
        <w:rPr>
          <w:color w:val="000000" w:themeColor="text1"/>
          <w:lang w:val="fr-CH"/>
        </w:rPr>
        <w:t>8.</w:t>
      </w:r>
      <w:r w:rsidR="00392E09" w:rsidRPr="00EB3359">
        <w:rPr>
          <w:color w:val="000000" w:themeColor="text1"/>
          <w:lang w:val="fr-CH"/>
        </w:rPr>
        <w:t xml:space="preserve"> </w:t>
      </w:r>
      <w:r w:rsidR="0036183C" w:rsidRPr="004333F9">
        <w:rPr>
          <w:lang w:val="fr-CH"/>
        </w:rPr>
        <w:t>Même si</w:t>
      </w:r>
      <w:r w:rsidR="00392E09" w:rsidRPr="004333F9">
        <w:rPr>
          <w:lang w:val="fr-CH"/>
        </w:rPr>
        <w:t xml:space="preserve"> le canton s’efforce d’ouvrir la nouvelle période de validité</w:t>
      </w:r>
      <w:r w:rsidR="00392E09" w:rsidRPr="00CF5076">
        <w:rPr>
          <w:lang w:val="fr-CH"/>
        </w:rPr>
        <w:t xml:space="preserve"> </w:t>
      </w:r>
      <w:r w:rsidR="0036183C" w:rsidRPr="00CF5076">
        <w:rPr>
          <w:lang w:val="fr-CH"/>
        </w:rPr>
        <w:t xml:space="preserve">chaque année </w:t>
      </w:r>
      <w:r w:rsidR="00392E09" w:rsidRPr="00CF5076">
        <w:rPr>
          <w:lang w:val="fr-CH"/>
        </w:rPr>
        <w:t>au mois de janvier</w:t>
      </w:r>
      <w:r w:rsidR="00F33494">
        <w:rPr>
          <w:lang w:val="fr-CH"/>
        </w:rPr>
        <w:t xml:space="preserve"> dans kiBon</w:t>
      </w:r>
      <w:r w:rsidR="00392E09" w:rsidRPr="00CF5076">
        <w:rPr>
          <w:lang w:val="fr-CH"/>
        </w:rPr>
        <w:t>, il n’est pas en mesure de le garantir, par exemple lorsque l’application subit des modifications importantes</w:t>
      </w:r>
      <w:r w:rsidR="00392E09" w:rsidRPr="00F33494">
        <w:rPr>
          <w:lang w:val="fr-CH"/>
        </w:rPr>
        <w:t>.</w:t>
      </w:r>
    </w:p>
  </w:footnote>
  <w:footnote w:id="8">
    <w:p w14:paraId="0925E4FC" w14:textId="60852E6D" w:rsidR="000F2691" w:rsidRPr="00506C71" w:rsidRDefault="000F2691" w:rsidP="000F2691">
      <w:pPr>
        <w:pStyle w:val="Funotentext"/>
        <w:rPr>
          <w:lang w:val="fr-CH"/>
        </w:rPr>
      </w:pPr>
      <w:r w:rsidRPr="00AB0092">
        <w:rPr>
          <w:rStyle w:val="Funotenzeichen"/>
          <w:lang w:val="fr-CH"/>
        </w:rPr>
        <w:footnoteRef/>
      </w:r>
      <w:r w:rsidRPr="00AB0092">
        <w:rPr>
          <w:lang w:val="fr-CH"/>
        </w:rPr>
        <w:t xml:space="preserve"> </w:t>
      </w:r>
      <w:r w:rsidR="00A16640" w:rsidRPr="00AB0092">
        <w:rPr>
          <w:lang w:val="fr-CH"/>
        </w:rPr>
        <w:t>Le présent alinéa 2 est une répétition de l’article</w:t>
      </w:r>
      <w:r w:rsidR="00DA398C" w:rsidRPr="00AB0092">
        <w:rPr>
          <w:lang w:val="fr-CH"/>
        </w:rPr>
        <w:t> </w:t>
      </w:r>
      <w:r w:rsidR="00A16640" w:rsidRPr="00AB0092">
        <w:rPr>
          <w:lang w:val="fr-CH"/>
        </w:rPr>
        <w:t>29, alinéa</w:t>
      </w:r>
      <w:r w:rsidR="00DA398C" w:rsidRPr="00AB0092">
        <w:rPr>
          <w:lang w:val="fr-CH"/>
        </w:rPr>
        <w:t> </w:t>
      </w:r>
      <w:r w:rsidR="00A16640" w:rsidRPr="00AB0092">
        <w:rPr>
          <w:lang w:val="fr-CH"/>
        </w:rPr>
        <w:t xml:space="preserve">3 OEJF. </w:t>
      </w:r>
      <w:r w:rsidR="00AD6A1B" w:rsidRPr="00EB3359">
        <w:rPr>
          <w:lang w:val="fr-CH"/>
        </w:rPr>
        <w:t>L’alinéa </w:t>
      </w:r>
      <w:r w:rsidRPr="00EB3359">
        <w:rPr>
          <w:lang w:val="fr-CH"/>
        </w:rPr>
        <w:t xml:space="preserve">3 </w:t>
      </w:r>
      <w:r w:rsidR="00AD6A1B" w:rsidRPr="00EB3359">
        <w:rPr>
          <w:lang w:val="fr-CH"/>
        </w:rPr>
        <w:t>explicite le fait que des</w:t>
      </w:r>
      <w:r w:rsidRPr="00F33494">
        <w:rPr>
          <w:lang w:val="fr-CH"/>
        </w:rPr>
        <w:t xml:space="preserve"> </w:t>
      </w:r>
      <w:r w:rsidR="00AD6A1B" w:rsidRPr="00F33494">
        <w:rPr>
          <w:lang w:val="fr-CH"/>
        </w:rPr>
        <w:t>modifications au sens de l’article 66, alinéa 1, lettre </w:t>
      </w:r>
      <w:r w:rsidR="00AD6A1B" w:rsidRPr="00AB0092">
        <w:rPr>
          <w:i/>
          <w:lang w:val="fr-CH"/>
        </w:rPr>
        <w:t>b</w:t>
      </w:r>
      <w:r w:rsidR="00AD6A1B" w:rsidRPr="00F33494">
        <w:rPr>
          <w:lang w:val="fr-CH"/>
        </w:rPr>
        <w:t xml:space="preserve"> OEJF sont possibles si la commune </w:t>
      </w:r>
      <w:r w:rsidR="00D551C9" w:rsidRPr="00F33494">
        <w:rPr>
          <w:lang w:val="fr-CH"/>
        </w:rPr>
        <w:t>limite</w:t>
      </w:r>
      <w:r w:rsidR="00AD6A1B" w:rsidRPr="00F33494">
        <w:rPr>
          <w:lang w:val="fr-CH"/>
        </w:rPr>
        <w:t xml:space="preserve"> les bons de gard</w:t>
      </w:r>
      <w:r w:rsidR="00AD6A1B" w:rsidRPr="00506C71">
        <w:rPr>
          <w:lang w:val="fr-CH"/>
        </w:rPr>
        <w:t>e</w:t>
      </w:r>
      <w:r w:rsidR="000D3738" w:rsidRPr="00506C71">
        <w:rPr>
          <w:lang w:val="fr-CH"/>
        </w:rPr>
        <w:t>.</w:t>
      </w:r>
    </w:p>
  </w:footnote>
  <w:footnote w:id="9">
    <w:p w14:paraId="78C3F9DC" w14:textId="11EA9493" w:rsidR="000D3738" w:rsidRPr="004333F9" w:rsidRDefault="000D3738" w:rsidP="000D3738">
      <w:pPr>
        <w:pStyle w:val="Funotentext"/>
        <w:rPr>
          <w:lang w:val="fr-CH"/>
        </w:rPr>
      </w:pPr>
      <w:r w:rsidRPr="00EB3359">
        <w:rPr>
          <w:rStyle w:val="Funotenzeichen"/>
          <w:lang w:val="fr-CH"/>
        </w:rPr>
        <w:footnoteRef/>
      </w:r>
      <w:r w:rsidRPr="00EB3359">
        <w:rPr>
          <w:lang w:val="fr-CH"/>
        </w:rPr>
        <w:t xml:space="preserve"> </w:t>
      </w:r>
      <w:r w:rsidR="002C16F5">
        <w:rPr>
          <w:lang w:val="fr-CH"/>
        </w:rPr>
        <w:t>Cette disposition</w:t>
      </w:r>
      <w:r w:rsidR="00AD6A1B" w:rsidRPr="00EB3359">
        <w:rPr>
          <w:lang w:val="fr-CH"/>
        </w:rPr>
        <w:t xml:space="preserve"> découle de l’article </w:t>
      </w:r>
      <w:r w:rsidRPr="00EB3359">
        <w:rPr>
          <w:lang w:val="fr-CH"/>
        </w:rPr>
        <w:t>66</w:t>
      </w:r>
      <w:r w:rsidR="00AD6A1B" w:rsidRPr="00EB3359">
        <w:rPr>
          <w:lang w:val="fr-CH"/>
        </w:rPr>
        <w:t>, alinéa 1, lettre </w:t>
      </w:r>
      <w:r w:rsidRPr="00AB0092">
        <w:rPr>
          <w:i/>
          <w:lang w:val="fr-CH"/>
        </w:rPr>
        <w:t>b</w:t>
      </w:r>
      <w:r w:rsidRPr="00EB3359">
        <w:rPr>
          <w:lang w:val="fr-CH"/>
        </w:rPr>
        <w:t xml:space="preserve"> </w:t>
      </w:r>
      <w:r w:rsidR="00AD6A1B" w:rsidRPr="004333F9">
        <w:rPr>
          <w:lang w:val="fr-CH"/>
        </w:rPr>
        <w:t>OEJF</w:t>
      </w:r>
      <w:r w:rsidRPr="004333F9">
        <w:rPr>
          <w:lang w:val="fr-CH"/>
        </w:rPr>
        <w:t>.</w:t>
      </w:r>
    </w:p>
  </w:footnote>
  <w:footnote w:id="10">
    <w:p w14:paraId="2CAA39D5" w14:textId="32DD82C0" w:rsidR="00170F10" w:rsidRPr="00FA3F09" w:rsidRDefault="00170F10">
      <w:pPr>
        <w:pStyle w:val="Funotentext"/>
        <w:rPr>
          <w:lang w:val="fr-CH"/>
        </w:rPr>
      </w:pPr>
      <w:r w:rsidRPr="00EB3359">
        <w:rPr>
          <w:rStyle w:val="Funotenzeichen"/>
          <w:lang w:val="fr-CH"/>
        </w:rPr>
        <w:footnoteRef/>
      </w:r>
      <w:r w:rsidR="00744AC4" w:rsidRPr="00EB3359">
        <w:rPr>
          <w:lang w:val="fr-CH"/>
        </w:rPr>
        <w:t xml:space="preserve"> </w:t>
      </w:r>
      <w:r w:rsidR="00BF12A1" w:rsidRPr="00EB3359">
        <w:rPr>
          <w:lang w:val="fr-CH"/>
        </w:rPr>
        <w:t>En vertu de l’article</w:t>
      </w:r>
      <w:r w:rsidR="005F70FC" w:rsidRPr="00EB3359">
        <w:rPr>
          <w:lang w:val="fr-CH"/>
        </w:rPr>
        <w:t> </w:t>
      </w:r>
      <w:r w:rsidR="000958B7" w:rsidRPr="00EB3359">
        <w:rPr>
          <w:lang w:val="fr-CH"/>
        </w:rPr>
        <w:t>44,</w:t>
      </w:r>
      <w:r w:rsidR="00BF12A1" w:rsidRPr="00EB3359">
        <w:rPr>
          <w:lang w:val="fr-CH"/>
        </w:rPr>
        <w:t xml:space="preserve"> </w:t>
      </w:r>
      <w:r w:rsidR="000958B7" w:rsidRPr="004333F9">
        <w:rPr>
          <w:lang w:val="fr-CH"/>
        </w:rPr>
        <w:t>alinéa </w:t>
      </w:r>
      <w:r w:rsidR="00BF12A1" w:rsidRPr="004333F9">
        <w:rPr>
          <w:lang w:val="fr-CH"/>
        </w:rPr>
        <w:t xml:space="preserve">2 </w:t>
      </w:r>
      <w:r w:rsidR="000958B7" w:rsidRPr="004333F9">
        <w:rPr>
          <w:lang w:val="fr-CH"/>
        </w:rPr>
        <w:t>OEJF</w:t>
      </w:r>
      <w:r w:rsidR="00BF12A1" w:rsidRPr="00475D0D">
        <w:rPr>
          <w:lang w:val="fr-CH"/>
        </w:rPr>
        <w:t xml:space="preserve">, la commune peut </w:t>
      </w:r>
      <w:r w:rsidR="00BF12A1" w:rsidRPr="00AB0092">
        <w:rPr>
          <w:rStyle w:val="textcontent"/>
          <w:lang w:val="fr-CH"/>
        </w:rPr>
        <w:t xml:space="preserve">lier plus étroitement le taux de prise en charge </w:t>
      </w:r>
      <w:r w:rsidR="00EE07B7" w:rsidRPr="00AB0092">
        <w:rPr>
          <w:rStyle w:val="textcontent"/>
          <w:lang w:val="fr-CH"/>
        </w:rPr>
        <w:t xml:space="preserve">admissible </w:t>
      </w:r>
      <w:r w:rsidR="00BF12A1" w:rsidRPr="00AB0092">
        <w:rPr>
          <w:rStyle w:val="textcontent"/>
          <w:lang w:val="fr-CH"/>
        </w:rPr>
        <w:t>au taux d’activité effectif</w:t>
      </w:r>
      <w:r w:rsidR="00DD2622" w:rsidRPr="00EB3359">
        <w:rPr>
          <w:lang w:val="fr-CH"/>
        </w:rPr>
        <w:t xml:space="preserve"> et</w:t>
      </w:r>
      <w:r w:rsidR="00BF12A1" w:rsidRPr="00EB3359">
        <w:rPr>
          <w:lang w:val="fr-CH"/>
        </w:rPr>
        <w:t xml:space="preserve"> réduire le supplément de 20</w:t>
      </w:r>
      <w:r w:rsidR="005F70FC" w:rsidRPr="00EB3359">
        <w:rPr>
          <w:lang w:val="fr-CH"/>
        </w:rPr>
        <w:t xml:space="preserve"> pour cent</w:t>
      </w:r>
      <w:r w:rsidR="00BF12A1" w:rsidRPr="00EB3359">
        <w:rPr>
          <w:lang w:val="fr-CH"/>
        </w:rPr>
        <w:t xml:space="preserve"> </w:t>
      </w:r>
      <w:r w:rsidR="00BF12A1" w:rsidRPr="00506C71">
        <w:rPr>
          <w:lang w:val="fr-CH"/>
        </w:rPr>
        <w:t xml:space="preserve">ou </w:t>
      </w:r>
      <w:r w:rsidR="00DD2622" w:rsidRPr="00506C71">
        <w:rPr>
          <w:lang w:val="fr-CH"/>
        </w:rPr>
        <w:t>y renoncer totalement</w:t>
      </w:r>
      <w:r w:rsidR="00744AC4" w:rsidRPr="00506C71">
        <w:rPr>
          <w:lang w:val="fr-CH"/>
        </w:rPr>
        <w:t xml:space="preserve">. </w:t>
      </w:r>
      <w:r w:rsidR="00C624E4" w:rsidRPr="00506C71">
        <w:rPr>
          <w:lang w:val="fr-CH"/>
        </w:rPr>
        <w:t xml:space="preserve">Lorsque la commune décide de lier plus étroitement </w:t>
      </w:r>
      <w:r w:rsidR="008E3616" w:rsidRPr="00506C71">
        <w:rPr>
          <w:lang w:val="fr-CH"/>
        </w:rPr>
        <w:t>c</w:t>
      </w:r>
      <w:r w:rsidR="00C624E4" w:rsidRPr="00506C71">
        <w:rPr>
          <w:lang w:val="fr-CH"/>
        </w:rPr>
        <w:t xml:space="preserve">es deux taux, elle ne peut pas descendre en dessous du taux d’activité </w:t>
      </w:r>
      <w:r w:rsidR="00F2010B" w:rsidRPr="00506C71">
        <w:rPr>
          <w:lang w:val="fr-CH"/>
        </w:rPr>
        <w:t>effectif</w:t>
      </w:r>
      <w:r w:rsidR="00C624E4" w:rsidRPr="00506C71">
        <w:rPr>
          <w:lang w:val="fr-CH"/>
        </w:rPr>
        <w:t>. Une commune pourrait par exemple déterminer</w:t>
      </w:r>
      <w:r w:rsidR="00FA3F09">
        <w:rPr>
          <w:lang w:val="fr-CH"/>
        </w:rPr>
        <w:t xml:space="preserve"> de financer des bons correspondant au maximum</w:t>
      </w:r>
      <w:r w:rsidR="00FA3F09" w:rsidRPr="00EB3359">
        <w:rPr>
          <w:lang w:val="fr-CH"/>
        </w:rPr>
        <w:t xml:space="preserve"> </w:t>
      </w:r>
      <w:r w:rsidR="00FA3F09">
        <w:rPr>
          <w:lang w:val="fr-CH"/>
        </w:rPr>
        <w:t>au</w:t>
      </w:r>
      <w:r w:rsidR="00FA3F09" w:rsidRPr="00EB3359">
        <w:rPr>
          <w:lang w:val="fr-CH"/>
        </w:rPr>
        <w:t xml:space="preserve"> taux </w:t>
      </w:r>
      <w:r w:rsidR="00FA3F09">
        <w:rPr>
          <w:lang w:val="fr-CH"/>
        </w:rPr>
        <w:t xml:space="preserve">d’activité </w:t>
      </w:r>
      <w:r w:rsidR="00F3470A" w:rsidRPr="00FA3F09">
        <w:rPr>
          <w:lang w:val="fr-CH"/>
        </w:rPr>
        <w:t>de</w:t>
      </w:r>
      <w:r w:rsidR="00FA3F09">
        <w:rPr>
          <w:lang w:val="fr-CH"/>
        </w:rPr>
        <w:t>s</w:t>
      </w:r>
      <w:r w:rsidR="00F3470A" w:rsidRPr="00FA3F09">
        <w:rPr>
          <w:lang w:val="fr-CH"/>
        </w:rPr>
        <w:t xml:space="preserve"> </w:t>
      </w:r>
      <w:r w:rsidR="00FA3F09" w:rsidRPr="00FA3F09">
        <w:rPr>
          <w:lang w:val="fr-CH"/>
        </w:rPr>
        <w:t xml:space="preserve">personnes </w:t>
      </w:r>
      <w:r w:rsidR="00FA3F09">
        <w:rPr>
          <w:lang w:val="fr-CH"/>
        </w:rPr>
        <w:t>en emploi</w:t>
      </w:r>
      <w:r w:rsidR="00F3470A" w:rsidRPr="00EB3359">
        <w:rPr>
          <w:lang w:val="fr-CH"/>
        </w:rPr>
        <w:t xml:space="preserve">. </w:t>
      </w:r>
      <w:r w:rsidR="00D551C9" w:rsidRPr="00FA3F09">
        <w:rPr>
          <w:lang w:val="fr-CH"/>
        </w:rPr>
        <w:t xml:space="preserve">Toutefois, il faut savoir </w:t>
      </w:r>
      <w:r w:rsidR="00F3470A" w:rsidRPr="00506C71">
        <w:rPr>
          <w:lang w:val="fr-CH"/>
        </w:rPr>
        <w:t>que pour nombre de familles, ce soutien ne serait pas suffisant, notamment en raison</w:t>
      </w:r>
      <w:r w:rsidR="00893F54" w:rsidRPr="00506C71">
        <w:rPr>
          <w:lang w:val="fr-CH"/>
        </w:rPr>
        <w:t xml:space="preserve"> de longs trajets </w:t>
      </w:r>
      <w:r w:rsidR="00D551C9" w:rsidRPr="00506C71">
        <w:rPr>
          <w:lang w:val="fr-CH"/>
        </w:rPr>
        <w:t xml:space="preserve">professionnels </w:t>
      </w:r>
      <w:r w:rsidR="00893F54" w:rsidRPr="00506C71">
        <w:rPr>
          <w:lang w:val="fr-CH"/>
        </w:rPr>
        <w:t xml:space="preserve">ou </w:t>
      </w:r>
      <w:r w:rsidR="00FA3F09">
        <w:rPr>
          <w:lang w:val="fr-CH"/>
        </w:rPr>
        <w:t>d’horaires</w:t>
      </w:r>
      <w:r w:rsidR="00893F54" w:rsidRPr="00506C71">
        <w:rPr>
          <w:lang w:val="fr-CH"/>
        </w:rPr>
        <w:t xml:space="preserve"> de travail </w:t>
      </w:r>
      <w:r w:rsidR="00B6165F" w:rsidRPr="00506C71">
        <w:rPr>
          <w:lang w:val="fr-CH"/>
        </w:rPr>
        <w:t>irréguli</w:t>
      </w:r>
      <w:r w:rsidR="00FA3F09">
        <w:rPr>
          <w:lang w:val="fr-CH"/>
        </w:rPr>
        <w:t>er</w:t>
      </w:r>
      <w:r w:rsidR="00B6165F" w:rsidRPr="00506C71">
        <w:rPr>
          <w:lang w:val="fr-CH"/>
        </w:rPr>
        <w:t>s</w:t>
      </w:r>
      <w:r w:rsidR="00893F54" w:rsidRPr="00506C71">
        <w:rPr>
          <w:lang w:val="fr-CH"/>
        </w:rPr>
        <w:t>. Si, en de tels cas, une demande d’augmentation du taux de prise en charge</w:t>
      </w:r>
      <w:r w:rsidR="00B6165F" w:rsidRPr="00506C71">
        <w:rPr>
          <w:lang w:val="fr-CH"/>
        </w:rPr>
        <w:t xml:space="preserve"> était</w:t>
      </w:r>
      <w:r w:rsidR="00893F54" w:rsidRPr="00506C71">
        <w:rPr>
          <w:lang w:val="fr-CH"/>
        </w:rPr>
        <w:t xml:space="preserve"> nécessaire, la charge administrative de la commune s’en trouve</w:t>
      </w:r>
      <w:r w:rsidR="00B6165F" w:rsidRPr="00506C71">
        <w:rPr>
          <w:lang w:val="fr-CH"/>
        </w:rPr>
        <w:t>rait</w:t>
      </w:r>
      <w:r w:rsidR="00893F54" w:rsidRPr="00506C71">
        <w:rPr>
          <w:lang w:val="fr-CH"/>
        </w:rPr>
        <w:t xml:space="preserve"> a</w:t>
      </w:r>
      <w:r w:rsidR="00B6165F" w:rsidRPr="00506C71">
        <w:rPr>
          <w:lang w:val="fr-CH"/>
        </w:rPr>
        <w:t>lourdi</w:t>
      </w:r>
      <w:r w:rsidR="00893F54" w:rsidRPr="00506C71">
        <w:rPr>
          <w:lang w:val="fr-CH"/>
        </w:rPr>
        <w:t>e</w:t>
      </w:r>
      <w:r w:rsidR="00DD2622" w:rsidRPr="00506C71">
        <w:rPr>
          <w:lang w:val="fr-CH"/>
        </w:rPr>
        <w:t xml:space="preserve">. </w:t>
      </w:r>
      <w:r w:rsidR="00893F54" w:rsidRPr="00506C71">
        <w:rPr>
          <w:lang w:val="fr-CH"/>
        </w:rPr>
        <w:t xml:space="preserve">L’évaluation des données relatives aux bons de garde émis à ce jour montre que le taux de prise en charge </w:t>
      </w:r>
      <w:r w:rsidR="00F2010B" w:rsidRPr="00506C71">
        <w:rPr>
          <w:lang w:val="fr-CH"/>
        </w:rPr>
        <w:t>effectif</w:t>
      </w:r>
      <w:r w:rsidR="00893F54" w:rsidRPr="00506C71">
        <w:rPr>
          <w:lang w:val="fr-CH"/>
        </w:rPr>
        <w:t xml:space="preserve"> est le plus souvent nettement inférieur</w:t>
      </w:r>
      <w:r w:rsidR="00DD2622" w:rsidRPr="00506C71">
        <w:rPr>
          <w:lang w:val="fr-CH"/>
        </w:rPr>
        <w:t xml:space="preserve"> </w:t>
      </w:r>
      <w:r w:rsidR="00893F54" w:rsidRPr="00506C71">
        <w:rPr>
          <w:lang w:val="fr-CH"/>
        </w:rPr>
        <w:t xml:space="preserve">au taux admissible et presque aussi souvent </w:t>
      </w:r>
      <w:r w:rsidR="00893F54" w:rsidRPr="00FA3F09">
        <w:rPr>
          <w:lang w:val="fr-CH"/>
        </w:rPr>
        <w:t>inférieur au taux d’occupation</w:t>
      </w:r>
      <w:r w:rsidR="00DD2622" w:rsidRPr="00FA3F09">
        <w:rPr>
          <w:lang w:val="fr-CH"/>
        </w:rPr>
        <w:t>.</w:t>
      </w:r>
    </w:p>
  </w:footnote>
  <w:footnote w:id="11">
    <w:p w14:paraId="197965B1" w14:textId="76EDD5FD" w:rsidR="006A69AA" w:rsidRPr="00EB3359" w:rsidRDefault="006A69AA" w:rsidP="006A69AA">
      <w:pPr>
        <w:pStyle w:val="Funotentext"/>
        <w:rPr>
          <w:lang w:val="fr-CH"/>
        </w:rPr>
      </w:pPr>
      <w:r w:rsidRPr="00FA3F09">
        <w:rPr>
          <w:rStyle w:val="Funotenzeichen"/>
          <w:lang w:val="fr-CH"/>
        </w:rPr>
        <w:footnoteRef/>
      </w:r>
      <w:r w:rsidRPr="00FA3F09">
        <w:rPr>
          <w:lang w:val="fr-CH"/>
        </w:rPr>
        <w:t xml:space="preserve"> P.</w:t>
      </w:r>
      <w:r w:rsidR="005F70FC" w:rsidRPr="00FA3F09">
        <w:rPr>
          <w:lang w:val="fr-CH"/>
        </w:rPr>
        <w:t> </w:t>
      </w:r>
      <w:r w:rsidRPr="00FA3F09">
        <w:rPr>
          <w:lang w:val="fr-CH"/>
        </w:rPr>
        <w:t xml:space="preserve">ex. lorsque les deux </w:t>
      </w:r>
      <w:r w:rsidR="00FA3F09" w:rsidRPr="00FA3F09">
        <w:rPr>
          <w:lang w:val="fr-CH"/>
        </w:rPr>
        <w:t xml:space="preserve">personnes détenant l’autorité parentale </w:t>
      </w:r>
      <w:r w:rsidRPr="00FA3F09">
        <w:rPr>
          <w:lang w:val="fr-CH"/>
        </w:rPr>
        <w:t>travaillent en même t</w:t>
      </w:r>
      <w:r w:rsidR="00915240" w:rsidRPr="00FA3F09">
        <w:rPr>
          <w:lang w:val="fr-CH"/>
        </w:rPr>
        <w:t>emps</w:t>
      </w:r>
      <w:r w:rsidRPr="00FA3F09">
        <w:rPr>
          <w:lang w:val="fr-CH"/>
        </w:rPr>
        <w:t>, en cas d’horaires irréguliers, etc.</w:t>
      </w:r>
    </w:p>
  </w:footnote>
  <w:footnote w:id="12">
    <w:p w14:paraId="613EEB73" w14:textId="44358BE2" w:rsidR="00816464" w:rsidRPr="002745A3" w:rsidRDefault="00816464">
      <w:pPr>
        <w:pStyle w:val="Funotentext"/>
        <w:rPr>
          <w:lang w:val="fr-CH"/>
        </w:rPr>
      </w:pPr>
      <w:r w:rsidRPr="00EB3359">
        <w:rPr>
          <w:rStyle w:val="Funotenzeichen"/>
          <w:lang w:val="fr-CH"/>
        </w:rPr>
        <w:footnoteRef/>
      </w:r>
      <w:r w:rsidRPr="00EB3359">
        <w:rPr>
          <w:lang w:val="fr-CH"/>
        </w:rPr>
        <w:t xml:space="preserve"> </w:t>
      </w:r>
      <w:r w:rsidR="005F42E8" w:rsidRPr="00EB3359">
        <w:rPr>
          <w:lang w:val="fr-CH"/>
        </w:rPr>
        <w:t>Il incombe à l</w:t>
      </w:r>
      <w:r w:rsidR="003E4B4A" w:rsidRPr="00EB3359">
        <w:rPr>
          <w:lang w:val="fr-CH"/>
        </w:rPr>
        <w:t xml:space="preserve">a commune de déterminer précisément quand les </w:t>
      </w:r>
      <w:r w:rsidR="005F42E8" w:rsidRPr="004333F9">
        <w:rPr>
          <w:lang w:val="fr-CH"/>
        </w:rPr>
        <w:t>émolument</w:t>
      </w:r>
      <w:r w:rsidR="003E4B4A" w:rsidRPr="004333F9">
        <w:rPr>
          <w:lang w:val="fr-CH"/>
        </w:rPr>
        <w:t>s</w:t>
      </w:r>
      <w:r w:rsidR="005F42E8" w:rsidRPr="00475D0D">
        <w:rPr>
          <w:lang w:val="fr-CH"/>
        </w:rPr>
        <w:t xml:space="preserve"> </w:t>
      </w:r>
      <w:r w:rsidR="003E4B4A" w:rsidRPr="00475D0D">
        <w:rPr>
          <w:lang w:val="fr-CH"/>
        </w:rPr>
        <w:t>seront</w:t>
      </w:r>
      <w:r w:rsidR="005F42E8" w:rsidRPr="00CF5076">
        <w:rPr>
          <w:lang w:val="fr-CH"/>
        </w:rPr>
        <w:t xml:space="preserve"> </w:t>
      </w:r>
      <w:r w:rsidR="005F42E8" w:rsidRPr="00F33494">
        <w:rPr>
          <w:lang w:val="fr-CH"/>
        </w:rPr>
        <w:t>perçu</w:t>
      </w:r>
      <w:r w:rsidR="003E4B4A" w:rsidRPr="00F33494">
        <w:rPr>
          <w:lang w:val="fr-CH"/>
        </w:rPr>
        <w:t>s</w:t>
      </w:r>
      <w:r w:rsidR="005F42E8" w:rsidRPr="00A92F74">
        <w:rPr>
          <w:lang w:val="fr-CH"/>
        </w:rPr>
        <w:t xml:space="preserve"> (une fois par </w:t>
      </w:r>
      <w:r w:rsidR="005F42E8" w:rsidRPr="002745A3">
        <w:rPr>
          <w:lang w:val="fr-CH"/>
        </w:rPr>
        <w:t>enfant et par année</w:t>
      </w:r>
      <w:r w:rsidR="00A148B8" w:rsidRPr="002745A3">
        <w:rPr>
          <w:lang w:val="fr-CH"/>
        </w:rPr>
        <w:t> </w:t>
      </w:r>
      <w:r w:rsidR="005F42E8" w:rsidRPr="002745A3">
        <w:rPr>
          <w:lang w:val="fr-CH"/>
        </w:rPr>
        <w:t>? Une fois par famille et par année</w:t>
      </w:r>
      <w:r w:rsidR="00A148B8" w:rsidRPr="002745A3">
        <w:rPr>
          <w:lang w:val="fr-CH"/>
        </w:rPr>
        <w:t> </w:t>
      </w:r>
      <w:r w:rsidR="00915240" w:rsidRPr="002745A3">
        <w:rPr>
          <w:lang w:val="fr-CH"/>
        </w:rPr>
        <w:t>? L</w:t>
      </w:r>
      <w:r w:rsidR="005F42E8" w:rsidRPr="002745A3">
        <w:rPr>
          <w:lang w:val="fr-CH"/>
        </w:rPr>
        <w:t>ors de chaque changement </w:t>
      </w:r>
      <w:r w:rsidR="00FF6B80" w:rsidRPr="002745A3">
        <w:rPr>
          <w:lang w:val="fr-CH"/>
        </w:rPr>
        <w:t xml:space="preserve">?). </w:t>
      </w:r>
      <w:r w:rsidR="000958B7" w:rsidRPr="002745A3">
        <w:rPr>
          <w:lang w:val="fr-CH"/>
        </w:rPr>
        <w:t xml:space="preserve">Les émoluments </w:t>
      </w:r>
      <w:r w:rsidR="00FC50F7" w:rsidRPr="002745A3">
        <w:rPr>
          <w:lang w:val="fr-CH"/>
        </w:rPr>
        <w:t xml:space="preserve">font </w:t>
      </w:r>
      <w:r w:rsidR="000958B7" w:rsidRPr="002745A3">
        <w:rPr>
          <w:lang w:val="fr-CH"/>
        </w:rPr>
        <w:t xml:space="preserve">également </w:t>
      </w:r>
      <w:r w:rsidR="00FC50F7" w:rsidRPr="002745A3">
        <w:rPr>
          <w:lang w:val="fr-CH"/>
        </w:rPr>
        <w:t>l’objet d’une décision</w:t>
      </w:r>
      <w:r w:rsidR="000958B7" w:rsidRPr="002745A3">
        <w:rPr>
          <w:lang w:val="fr-CH"/>
        </w:rPr>
        <w:t>.</w:t>
      </w:r>
    </w:p>
  </w:footnote>
  <w:footnote w:id="13">
    <w:p w14:paraId="45DB84CD" w14:textId="7665E26E" w:rsidR="0062611E" w:rsidRPr="00506C71" w:rsidRDefault="0062611E" w:rsidP="0062611E">
      <w:pPr>
        <w:pStyle w:val="Funotentext"/>
        <w:rPr>
          <w:lang w:val="fr-CH"/>
        </w:rPr>
      </w:pPr>
      <w:r w:rsidRPr="002745A3">
        <w:rPr>
          <w:rStyle w:val="Funotenzeichen"/>
          <w:lang w:val="fr-CH"/>
        </w:rPr>
        <w:footnoteRef/>
      </w:r>
      <w:r w:rsidRPr="002745A3">
        <w:rPr>
          <w:lang w:val="fr-CH"/>
        </w:rPr>
        <w:t xml:space="preserve"> </w:t>
      </w:r>
      <w:r w:rsidR="006200BF" w:rsidRPr="002745A3">
        <w:rPr>
          <w:lang w:val="fr-CH"/>
        </w:rPr>
        <w:t xml:space="preserve">Il peut être renoncé </w:t>
      </w:r>
      <w:r w:rsidR="003E4B4A" w:rsidRPr="002745A3">
        <w:rPr>
          <w:lang w:val="fr-CH"/>
        </w:rPr>
        <w:t>à percevoir des</w:t>
      </w:r>
      <w:r w:rsidR="006200BF" w:rsidRPr="002745A3">
        <w:rPr>
          <w:lang w:val="fr-CH"/>
        </w:rPr>
        <w:t xml:space="preserve"> émoluments pour rendre l’offre accessible aux famil</w:t>
      </w:r>
      <w:r w:rsidR="00FF6B80" w:rsidRPr="002745A3">
        <w:rPr>
          <w:lang w:val="fr-CH"/>
        </w:rPr>
        <w:t>les sans frais.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7149" w14:textId="20248627" w:rsidR="0020097B" w:rsidRPr="00A155DF" w:rsidRDefault="00C40EA7" w:rsidP="00131A45">
    <w:pPr>
      <w:tabs>
        <w:tab w:val="right" w:pos="8931"/>
      </w:tabs>
      <w:rPr>
        <w:sz w:val="16"/>
        <w:szCs w:val="16"/>
        <w:lang w:val="fr-CH"/>
      </w:rPr>
    </w:pPr>
    <w:r>
      <w:rPr>
        <w:sz w:val="28"/>
        <w:szCs w:val="28"/>
        <w:lang w:val="fr-CH"/>
      </w:rPr>
      <w:t xml:space="preserve">Règlement </w:t>
    </w:r>
    <w:r w:rsidR="00520D26" w:rsidRPr="00A155DF">
      <w:rPr>
        <w:sz w:val="28"/>
        <w:szCs w:val="28"/>
        <w:lang w:val="fr-CH"/>
      </w:rPr>
      <w:t>type</w:t>
    </w:r>
    <w:r w:rsidR="0020097B" w:rsidRPr="00A155DF">
      <w:rPr>
        <w:sz w:val="28"/>
        <w:szCs w:val="28"/>
        <w:lang w:val="fr-CH"/>
      </w:rPr>
      <w:tab/>
    </w:r>
    <w:r w:rsidR="00B8595A">
      <w:rPr>
        <w:sz w:val="16"/>
        <w:szCs w:val="16"/>
        <w:lang w:val="fr-CH"/>
      </w:rPr>
      <w:t>29.08</w:t>
    </w:r>
    <w:r w:rsidR="004C4EFE" w:rsidRPr="00413BDA">
      <w:rPr>
        <w:sz w:val="16"/>
        <w:szCs w:val="16"/>
        <w:lang w:val="fr-CH"/>
      </w:rPr>
      <w:t>.2022</w:t>
    </w:r>
  </w:p>
  <w:p w14:paraId="3BE4E6B8" w14:textId="77777777" w:rsidR="0020097B" w:rsidRDefault="0020097B" w:rsidP="00131A45">
    <w:pPr>
      <w:tabs>
        <w:tab w:val="left" w:pos="7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E65"/>
    <w:multiLevelType w:val="hybridMultilevel"/>
    <w:tmpl w:val="CBF28D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30A1"/>
    <w:multiLevelType w:val="hybridMultilevel"/>
    <w:tmpl w:val="12E0701A"/>
    <w:lvl w:ilvl="0" w:tplc="E15C4666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12E4"/>
    <w:multiLevelType w:val="hybridMultilevel"/>
    <w:tmpl w:val="BC883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28C8"/>
    <w:multiLevelType w:val="hybridMultilevel"/>
    <w:tmpl w:val="2EDAB454"/>
    <w:lvl w:ilvl="0" w:tplc="926EEB2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53BBB"/>
    <w:multiLevelType w:val="hybridMultilevel"/>
    <w:tmpl w:val="5C3A860E"/>
    <w:lvl w:ilvl="0" w:tplc="0C1C08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E4587"/>
    <w:multiLevelType w:val="hybridMultilevel"/>
    <w:tmpl w:val="EC5645B4"/>
    <w:lvl w:ilvl="0" w:tplc="71DA3F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7455"/>
    <w:multiLevelType w:val="hybridMultilevel"/>
    <w:tmpl w:val="D76CD32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94D7A"/>
    <w:multiLevelType w:val="hybridMultilevel"/>
    <w:tmpl w:val="0D688C7C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595EB3"/>
    <w:multiLevelType w:val="hybridMultilevel"/>
    <w:tmpl w:val="BDD642B8"/>
    <w:lvl w:ilvl="0" w:tplc="EB4A34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4F51"/>
    <w:multiLevelType w:val="hybridMultilevel"/>
    <w:tmpl w:val="F57AF188"/>
    <w:lvl w:ilvl="0" w:tplc="A55653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B4DD6"/>
    <w:multiLevelType w:val="hybridMultilevel"/>
    <w:tmpl w:val="251A9FB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fr-CH" w:vendorID="64" w:dllVersion="131078" w:nlCheck="1" w:checkStyle="0"/>
  <w:activeWritingStyle w:appName="MSWord" w:lang="de-CH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s3011iis001pg68.sta.be.ch\TextBase TMs\Canton de Berne\BELEX 2016 (LexWork)|s3011iis001pg68.sta.be.ch\TextBase TMs\Canton de Berne\Canton de Berne|s3011iis001pg68.sta.be.ch\TextBase TMs\Canton de Berne\Conf_201903|s3011iis001pg68.sta.be.ch\TextBase TMs\SAP\SAP_interne|s3011iis001pg68.sta.be.ch\TextBase TMs\SAP\SAP_Temporaire|s3011iis001pg68.sta.be.ch\TextBase TMs\SAP\SAP_valide"/>
    <w:docVar w:name="TextBaseURL" w:val="empty"/>
    <w:docVar w:name="UILng" w:val="fr"/>
  </w:docVars>
  <w:rsids>
    <w:rsidRoot w:val="00686AF4"/>
    <w:rsid w:val="0001621C"/>
    <w:rsid w:val="000376A4"/>
    <w:rsid w:val="000420E2"/>
    <w:rsid w:val="00043A98"/>
    <w:rsid w:val="000601B3"/>
    <w:rsid w:val="00060FBF"/>
    <w:rsid w:val="000833B7"/>
    <w:rsid w:val="000958B7"/>
    <w:rsid w:val="000B2694"/>
    <w:rsid w:val="000B33D3"/>
    <w:rsid w:val="000B44FC"/>
    <w:rsid w:val="000C538C"/>
    <w:rsid w:val="000D3738"/>
    <w:rsid w:val="000F2691"/>
    <w:rsid w:val="000F3A84"/>
    <w:rsid w:val="00100F67"/>
    <w:rsid w:val="001073BE"/>
    <w:rsid w:val="001126A7"/>
    <w:rsid w:val="00121CD3"/>
    <w:rsid w:val="00123A2E"/>
    <w:rsid w:val="00126756"/>
    <w:rsid w:val="00131A45"/>
    <w:rsid w:val="00170F10"/>
    <w:rsid w:val="00172599"/>
    <w:rsid w:val="001852F5"/>
    <w:rsid w:val="00185B27"/>
    <w:rsid w:val="00197ED8"/>
    <w:rsid w:val="001C0487"/>
    <w:rsid w:val="001C2B0E"/>
    <w:rsid w:val="001D437E"/>
    <w:rsid w:val="001D447D"/>
    <w:rsid w:val="001E60CC"/>
    <w:rsid w:val="001F78A9"/>
    <w:rsid w:val="0020097B"/>
    <w:rsid w:val="002021F2"/>
    <w:rsid w:val="0021677A"/>
    <w:rsid w:val="00221C81"/>
    <w:rsid w:val="002265A4"/>
    <w:rsid w:val="00255CA5"/>
    <w:rsid w:val="0025614E"/>
    <w:rsid w:val="00256503"/>
    <w:rsid w:val="0025668D"/>
    <w:rsid w:val="002745A3"/>
    <w:rsid w:val="0028022B"/>
    <w:rsid w:val="00285132"/>
    <w:rsid w:val="00285F57"/>
    <w:rsid w:val="002A5479"/>
    <w:rsid w:val="002A74B7"/>
    <w:rsid w:val="002B160C"/>
    <w:rsid w:val="002B6DED"/>
    <w:rsid w:val="002C16F5"/>
    <w:rsid w:val="002E403C"/>
    <w:rsid w:val="002E6877"/>
    <w:rsid w:val="002F3010"/>
    <w:rsid w:val="002F60ED"/>
    <w:rsid w:val="002F74DB"/>
    <w:rsid w:val="00302B31"/>
    <w:rsid w:val="00302D32"/>
    <w:rsid w:val="00322DAA"/>
    <w:rsid w:val="003235CE"/>
    <w:rsid w:val="00331101"/>
    <w:rsid w:val="0033515F"/>
    <w:rsid w:val="0033670B"/>
    <w:rsid w:val="00340DDA"/>
    <w:rsid w:val="00345864"/>
    <w:rsid w:val="00354464"/>
    <w:rsid w:val="0036183C"/>
    <w:rsid w:val="0036574E"/>
    <w:rsid w:val="0038246A"/>
    <w:rsid w:val="0038311A"/>
    <w:rsid w:val="003833D1"/>
    <w:rsid w:val="00385DB8"/>
    <w:rsid w:val="00385EAC"/>
    <w:rsid w:val="00392E09"/>
    <w:rsid w:val="00394594"/>
    <w:rsid w:val="003967A2"/>
    <w:rsid w:val="003A0EDE"/>
    <w:rsid w:val="003A0F80"/>
    <w:rsid w:val="003A15BA"/>
    <w:rsid w:val="003B6E44"/>
    <w:rsid w:val="003C0469"/>
    <w:rsid w:val="003C0A90"/>
    <w:rsid w:val="003C7236"/>
    <w:rsid w:val="003C7D06"/>
    <w:rsid w:val="003D105B"/>
    <w:rsid w:val="003E05D5"/>
    <w:rsid w:val="003E310C"/>
    <w:rsid w:val="003E4B4A"/>
    <w:rsid w:val="003F2C10"/>
    <w:rsid w:val="003F6915"/>
    <w:rsid w:val="00401051"/>
    <w:rsid w:val="00407B8D"/>
    <w:rsid w:val="00411210"/>
    <w:rsid w:val="00413BDA"/>
    <w:rsid w:val="0041444D"/>
    <w:rsid w:val="00414E26"/>
    <w:rsid w:val="004179D5"/>
    <w:rsid w:val="004216E3"/>
    <w:rsid w:val="00424FFB"/>
    <w:rsid w:val="004333F9"/>
    <w:rsid w:val="0044306C"/>
    <w:rsid w:val="00445DE1"/>
    <w:rsid w:val="004528A3"/>
    <w:rsid w:val="00457E71"/>
    <w:rsid w:val="0046017A"/>
    <w:rsid w:val="00472D70"/>
    <w:rsid w:val="00473BB0"/>
    <w:rsid w:val="00475D0D"/>
    <w:rsid w:val="00485CED"/>
    <w:rsid w:val="00490B77"/>
    <w:rsid w:val="004B38A9"/>
    <w:rsid w:val="004C1335"/>
    <w:rsid w:val="004C4EFE"/>
    <w:rsid w:val="004C505C"/>
    <w:rsid w:val="004C58F6"/>
    <w:rsid w:val="004C725A"/>
    <w:rsid w:val="004C7B64"/>
    <w:rsid w:val="004E1DB2"/>
    <w:rsid w:val="00500901"/>
    <w:rsid w:val="00500D63"/>
    <w:rsid w:val="00506C71"/>
    <w:rsid w:val="00510B70"/>
    <w:rsid w:val="005177B0"/>
    <w:rsid w:val="00520D26"/>
    <w:rsid w:val="00521306"/>
    <w:rsid w:val="005254A5"/>
    <w:rsid w:val="005313E8"/>
    <w:rsid w:val="00550F8C"/>
    <w:rsid w:val="00556051"/>
    <w:rsid w:val="005630F8"/>
    <w:rsid w:val="005663B6"/>
    <w:rsid w:val="005742FC"/>
    <w:rsid w:val="00574E20"/>
    <w:rsid w:val="00580359"/>
    <w:rsid w:val="00584A10"/>
    <w:rsid w:val="005858EF"/>
    <w:rsid w:val="005875B9"/>
    <w:rsid w:val="00590C8B"/>
    <w:rsid w:val="00594DCC"/>
    <w:rsid w:val="005B13ED"/>
    <w:rsid w:val="005B70AF"/>
    <w:rsid w:val="005C4236"/>
    <w:rsid w:val="005C70E8"/>
    <w:rsid w:val="005E3040"/>
    <w:rsid w:val="005F42E8"/>
    <w:rsid w:val="005F70FC"/>
    <w:rsid w:val="00600F4A"/>
    <w:rsid w:val="00604508"/>
    <w:rsid w:val="00607441"/>
    <w:rsid w:val="006162F2"/>
    <w:rsid w:val="0061792D"/>
    <w:rsid w:val="006200BF"/>
    <w:rsid w:val="006238CF"/>
    <w:rsid w:val="0062611E"/>
    <w:rsid w:val="006337EA"/>
    <w:rsid w:val="006456F4"/>
    <w:rsid w:val="00651A62"/>
    <w:rsid w:val="00653BC3"/>
    <w:rsid w:val="006700A9"/>
    <w:rsid w:val="00672EB4"/>
    <w:rsid w:val="00677283"/>
    <w:rsid w:val="006822FF"/>
    <w:rsid w:val="00684CB2"/>
    <w:rsid w:val="00686AF4"/>
    <w:rsid w:val="0069085A"/>
    <w:rsid w:val="006A0036"/>
    <w:rsid w:val="006A0422"/>
    <w:rsid w:val="006A2896"/>
    <w:rsid w:val="006A41B1"/>
    <w:rsid w:val="006A69AA"/>
    <w:rsid w:val="006B053E"/>
    <w:rsid w:val="006B17A3"/>
    <w:rsid w:val="006B5DA3"/>
    <w:rsid w:val="006C7EE4"/>
    <w:rsid w:val="006D2DA7"/>
    <w:rsid w:val="006D3E05"/>
    <w:rsid w:val="006D5B89"/>
    <w:rsid w:val="006F00CB"/>
    <w:rsid w:val="006F374D"/>
    <w:rsid w:val="006F7055"/>
    <w:rsid w:val="00702111"/>
    <w:rsid w:val="00703886"/>
    <w:rsid w:val="007127A7"/>
    <w:rsid w:val="00717E1D"/>
    <w:rsid w:val="00721093"/>
    <w:rsid w:val="00721B26"/>
    <w:rsid w:val="00725EE3"/>
    <w:rsid w:val="0072787E"/>
    <w:rsid w:val="00727BD1"/>
    <w:rsid w:val="00727FF5"/>
    <w:rsid w:val="0074219E"/>
    <w:rsid w:val="00743D2C"/>
    <w:rsid w:val="00744AC4"/>
    <w:rsid w:val="0075575F"/>
    <w:rsid w:val="00771DE3"/>
    <w:rsid w:val="00772AE8"/>
    <w:rsid w:val="00786B54"/>
    <w:rsid w:val="00786E51"/>
    <w:rsid w:val="0079301E"/>
    <w:rsid w:val="007A16DF"/>
    <w:rsid w:val="007A1C76"/>
    <w:rsid w:val="007B1638"/>
    <w:rsid w:val="007B48FC"/>
    <w:rsid w:val="007D0013"/>
    <w:rsid w:val="007D39AD"/>
    <w:rsid w:val="007F2163"/>
    <w:rsid w:val="007F545E"/>
    <w:rsid w:val="007F7A37"/>
    <w:rsid w:val="0080695A"/>
    <w:rsid w:val="00815827"/>
    <w:rsid w:val="00816464"/>
    <w:rsid w:val="00816A2B"/>
    <w:rsid w:val="00823BD2"/>
    <w:rsid w:val="008248E3"/>
    <w:rsid w:val="008270BE"/>
    <w:rsid w:val="00835FAB"/>
    <w:rsid w:val="0083607B"/>
    <w:rsid w:val="008363C3"/>
    <w:rsid w:val="00843CCA"/>
    <w:rsid w:val="00843E63"/>
    <w:rsid w:val="00847007"/>
    <w:rsid w:val="00853D0F"/>
    <w:rsid w:val="00854071"/>
    <w:rsid w:val="0086692C"/>
    <w:rsid w:val="008764F0"/>
    <w:rsid w:val="008817D4"/>
    <w:rsid w:val="00883C0A"/>
    <w:rsid w:val="008854BF"/>
    <w:rsid w:val="00886AC7"/>
    <w:rsid w:val="00893F54"/>
    <w:rsid w:val="008A45EB"/>
    <w:rsid w:val="008A4A8B"/>
    <w:rsid w:val="008A6595"/>
    <w:rsid w:val="008D3595"/>
    <w:rsid w:val="008E3616"/>
    <w:rsid w:val="008E5FCE"/>
    <w:rsid w:val="008F32D7"/>
    <w:rsid w:val="008F60D8"/>
    <w:rsid w:val="008F6A27"/>
    <w:rsid w:val="00903595"/>
    <w:rsid w:val="00915240"/>
    <w:rsid w:val="00917D98"/>
    <w:rsid w:val="009228C5"/>
    <w:rsid w:val="00943228"/>
    <w:rsid w:val="00946C30"/>
    <w:rsid w:val="009671CC"/>
    <w:rsid w:val="00974AFC"/>
    <w:rsid w:val="0098080A"/>
    <w:rsid w:val="009872B8"/>
    <w:rsid w:val="009969DA"/>
    <w:rsid w:val="009B0610"/>
    <w:rsid w:val="009C2E6D"/>
    <w:rsid w:val="009C63EC"/>
    <w:rsid w:val="009C7E0E"/>
    <w:rsid w:val="009D0867"/>
    <w:rsid w:val="009D3174"/>
    <w:rsid w:val="009D683D"/>
    <w:rsid w:val="009E518E"/>
    <w:rsid w:val="009F14CC"/>
    <w:rsid w:val="009F3A7D"/>
    <w:rsid w:val="009F561E"/>
    <w:rsid w:val="00A01B5E"/>
    <w:rsid w:val="00A1095F"/>
    <w:rsid w:val="00A12DA7"/>
    <w:rsid w:val="00A1387D"/>
    <w:rsid w:val="00A148B8"/>
    <w:rsid w:val="00A155DF"/>
    <w:rsid w:val="00A16640"/>
    <w:rsid w:val="00A26E08"/>
    <w:rsid w:val="00A344FB"/>
    <w:rsid w:val="00A35BE8"/>
    <w:rsid w:val="00A40B04"/>
    <w:rsid w:val="00A46371"/>
    <w:rsid w:val="00A54BCD"/>
    <w:rsid w:val="00A57C16"/>
    <w:rsid w:val="00A65584"/>
    <w:rsid w:val="00A83743"/>
    <w:rsid w:val="00A862AD"/>
    <w:rsid w:val="00A9257E"/>
    <w:rsid w:val="00A92F74"/>
    <w:rsid w:val="00AA0962"/>
    <w:rsid w:val="00AA7E84"/>
    <w:rsid w:val="00AB0092"/>
    <w:rsid w:val="00AB23C1"/>
    <w:rsid w:val="00AB3A38"/>
    <w:rsid w:val="00AB7A41"/>
    <w:rsid w:val="00AB7A9A"/>
    <w:rsid w:val="00AC086A"/>
    <w:rsid w:val="00AC3D09"/>
    <w:rsid w:val="00AC40E9"/>
    <w:rsid w:val="00AC7AA2"/>
    <w:rsid w:val="00AD25CC"/>
    <w:rsid w:val="00AD26BF"/>
    <w:rsid w:val="00AD6A1B"/>
    <w:rsid w:val="00AF01DC"/>
    <w:rsid w:val="00AF337D"/>
    <w:rsid w:val="00B05085"/>
    <w:rsid w:val="00B1256A"/>
    <w:rsid w:val="00B12B16"/>
    <w:rsid w:val="00B154A0"/>
    <w:rsid w:val="00B16955"/>
    <w:rsid w:val="00B30580"/>
    <w:rsid w:val="00B32277"/>
    <w:rsid w:val="00B35D0A"/>
    <w:rsid w:val="00B6165F"/>
    <w:rsid w:val="00B61772"/>
    <w:rsid w:val="00B62319"/>
    <w:rsid w:val="00B63A9E"/>
    <w:rsid w:val="00B63AEC"/>
    <w:rsid w:val="00B704FA"/>
    <w:rsid w:val="00B7324B"/>
    <w:rsid w:val="00B8595A"/>
    <w:rsid w:val="00B879B6"/>
    <w:rsid w:val="00B90871"/>
    <w:rsid w:val="00B92557"/>
    <w:rsid w:val="00B95D0D"/>
    <w:rsid w:val="00BA2792"/>
    <w:rsid w:val="00BA3F15"/>
    <w:rsid w:val="00BC3481"/>
    <w:rsid w:val="00BC34C0"/>
    <w:rsid w:val="00BD30F8"/>
    <w:rsid w:val="00BE5ED8"/>
    <w:rsid w:val="00BF0E7C"/>
    <w:rsid w:val="00BF12A1"/>
    <w:rsid w:val="00BF42C4"/>
    <w:rsid w:val="00BF6DB8"/>
    <w:rsid w:val="00C039E4"/>
    <w:rsid w:val="00C14F30"/>
    <w:rsid w:val="00C35E4D"/>
    <w:rsid w:val="00C37CAC"/>
    <w:rsid w:val="00C40EA7"/>
    <w:rsid w:val="00C426AD"/>
    <w:rsid w:val="00C479F7"/>
    <w:rsid w:val="00C53356"/>
    <w:rsid w:val="00C624E4"/>
    <w:rsid w:val="00C82453"/>
    <w:rsid w:val="00CA646F"/>
    <w:rsid w:val="00CA7DBD"/>
    <w:rsid w:val="00CB1DA2"/>
    <w:rsid w:val="00CB66AC"/>
    <w:rsid w:val="00CC2EA7"/>
    <w:rsid w:val="00CD2489"/>
    <w:rsid w:val="00CD2CAC"/>
    <w:rsid w:val="00CD65B4"/>
    <w:rsid w:val="00CD66D2"/>
    <w:rsid w:val="00CD736F"/>
    <w:rsid w:val="00CF5076"/>
    <w:rsid w:val="00D05499"/>
    <w:rsid w:val="00D07831"/>
    <w:rsid w:val="00D4119A"/>
    <w:rsid w:val="00D516D9"/>
    <w:rsid w:val="00D52ED5"/>
    <w:rsid w:val="00D54984"/>
    <w:rsid w:val="00D551C9"/>
    <w:rsid w:val="00D55AB8"/>
    <w:rsid w:val="00D84ED0"/>
    <w:rsid w:val="00D91119"/>
    <w:rsid w:val="00D92EEE"/>
    <w:rsid w:val="00D93EE4"/>
    <w:rsid w:val="00D96B72"/>
    <w:rsid w:val="00DA398C"/>
    <w:rsid w:val="00DA3C3B"/>
    <w:rsid w:val="00DA41F3"/>
    <w:rsid w:val="00DB2077"/>
    <w:rsid w:val="00DB2610"/>
    <w:rsid w:val="00DB3A5A"/>
    <w:rsid w:val="00DB4831"/>
    <w:rsid w:val="00DC4AF7"/>
    <w:rsid w:val="00DD2622"/>
    <w:rsid w:val="00DE07E2"/>
    <w:rsid w:val="00DE4438"/>
    <w:rsid w:val="00E241AB"/>
    <w:rsid w:val="00E25248"/>
    <w:rsid w:val="00E256C4"/>
    <w:rsid w:val="00E3255C"/>
    <w:rsid w:val="00E32593"/>
    <w:rsid w:val="00E33C2E"/>
    <w:rsid w:val="00E44020"/>
    <w:rsid w:val="00E45C64"/>
    <w:rsid w:val="00E4711A"/>
    <w:rsid w:val="00E56ACC"/>
    <w:rsid w:val="00E635AF"/>
    <w:rsid w:val="00E66169"/>
    <w:rsid w:val="00E81E13"/>
    <w:rsid w:val="00E85215"/>
    <w:rsid w:val="00E86CA2"/>
    <w:rsid w:val="00E87634"/>
    <w:rsid w:val="00E9341B"/>
    <w:rsid w:val="00EA214C"/>
    <w:rsid w:val="00EA4AA1"/>
    <w:rsid w:val="00EA6A16"/>
    <w:rsid w:val="00EB3359"/>
    <w:rsid w:val="00EB787E"/>
    <w:rsid w:val="00EC3236"/>
    <w:rsid w:val="00ED1540"/>
    <w:rsid w:val="00ED718B"/>
    <w:rsid w:val="00ED7BAB"/>
    <w:rsid w:val="00EE07B7"/>
    <w:rsid w:val="00EE767F"/>
    <w:rsid w:val="00EF4538"/>
    <w:rsid w:val="00EF6F7C"/>
    <w:rsid w:val="00F045C1"/>
    <w:rsid w:val="00F2010B"/>
    <w:rsid w:val="00F26602"/>
    <w:rsid w:val="00F27A7C"/>
    <w:rsid w:val="00F33494"/>
    <w:rsid w:val="00F3470A"/>
    <w:rsid w:val="00F35A1F"/>
    <w:rsid w:val="00F40EFE"/>
    <w:rsid w:val="00F447EB"/>
    <w:rsid w:val="00F50DED"/>
    <w:rsid w:val="00F52652"/>
    <w:rsid w:val="00F67449"/>
    <w:rsid w:val="00F80E3A"/>
    <w:rsid w:val="00F8158C"/>
    <w:rsid w:val="00F81A3A"/>
    <w:rsid w:val="00FA2C5C"/>
    <w:rsid w:val="00FA3886"/>
    <w:rsid w:val="00FA3F09"/>
    <w:rsid w:val="00FB0B03"/>
    <w:rsid w:val="00FB11B6"/>
    <w:rsid w:val="00FB2D2E"/>
    <w:rsid w:val="00FB590E"/>
    <w:rsid w:val="00FB7277"/>
    <w:rsid w:val="00FC035C"/>
    <w:rsid w:val="00FC2FA4"/>
    <w:rsid w:val="00FC4073"/>
    <w:rsid w:val="00FC50F7"/>
    <w:rsid w:val="00FC7826"/>
    <w:rsid w:val="00FD6B4A"/>
    <w:rsid w:val="00FE1AC2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2F9E7B"/>
  <w15:docId w15:val="{1629BCE5-1464-4B37-B3D8-CEBB07BE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54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85E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5EA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5EA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601B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09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97B"/>
  </w:style>
  <w:style w:type="paragraph" w:styleId="Fuzeile">
    <w:name w:val="footer"/>
    <w:basedOn w:val="Standard"/>
    <w:link w:val="FuzeileZchn"/>
    <w:uiPriority w:val="99"/>
    <w:unhideWhenUsed/>
    <w:rsid w:val="002009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9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3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33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6C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6C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6C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6C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6C30"/>
    <w:rPr>
      <w:b/>
      <w:bCs/>
      <w:sz w:val="20"/>
      <w:szCs w:val="20"/>
    </w:rPr>
  </w:style>
  <w:style w:type="character" w:customStyle="1" w:styleId="textcontent">
    <w:name w:val="text_content"/>
    <w:basedOn w:val="Absatz-Standardschriftart"/>
    <w:rsid w:val="00BF12A1"/>
  </w:style>
  <w:style w:type="paragraph" w:styleId="Titel">
    <w:name w:val="Title"/>
    <w:basedOn w:val="Standard"/>
    <w:next w:val="Standard"/>
    <w:link w:val="TitelZchn"/>
    <w:uiPriority w:val="10"/>
    <w:qFormat/>
    <w:rsid w:val="00FD6B4A"/>
    <w:pPr>
      <w:spacing w:before="240" w:after="24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6B4A"/>
    <w:rPr>
      <w:rFonts w:eastAsiaTheme="majorEastAsia" w:cstheme="majorBidi"/>
      <w:b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0691-D387-41D1-B50A-576C8E49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5156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Règlement type bons de garde pour communes</vt:lpstr>
      <vt:lpstr>Règlement type bons de garde pour communes</vt:lpstr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type bons de garde pour communes</dc:title>
  <dc:creator>ACB/Office des affaires sociales canton de Berne</dc:creator>
  <cp:lastModifiedBy>Leuenberger Nina Luisa, GSI-AIS</cp:lastModifiedBy>
  <cp:revision>303</cp:revision>
  <cp:lastPrinted>2019-08-19T12:43:00Z</cp:lastPrinted>
  <dcterms:created xsi:type="dcterms:W3CDTF">2022-03-20T17:33:00Z</dcterms:created>
  <dcterms:modified xsi:type="dcterms:W3CDTF">2022-08-29T08:08:00Z</dcterms:modified>
</cp:coreProperties>
</file>