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8A8C" w14:textId="77777777" w:rsidR="00A63F3D" w:rsidRPr="00A7075F" w:rsidRDefault="00A63F3D" w:rsidP="00A63F3D">
      <w:pPr>
        <w:pStyle w:val="1pt"/>
        <w:rPr>
          <w:color w:val="000000" w:themeColor="text1"/>
        </w:rPr>
        <w:sectPr w:rsidR="00A63F3D" w:rsidRPr="00A7075F" w:rsidSect="00A63F3D">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A63F3D" w:rsidRPr="00A7075F" w14:paraId="2CD29FF7" w14:textId="77777777" w:rsidTr="001D57F5">
        <w:trPr>
          <w:trHeight w:val="284"/>
        </w:trPr>
        <w:tc>
          <w:tcPr>
            <w:tcW w:w="5102" w:type="dxa"/>
            <w:vMerge w:val="restart"/>
          </w:tcPr>
          <w:p w14:paraId="2292F02F" w14:textId="77777777" w:rsidR="00A63F3D" w:rsidRPr="00A7075F" w:rsidRDefault="00A63F3D" w:rsidP="001D57F5">
            <w:pPr>
              <w:pStyle w:val="Text85pt"/>
              <w:rPr>
                <w:color w:val="000000" w:themeColor="text1"/>
              </w:rPr>
            </w:pPr>
            <w:r w:rsidRPr="00A7075F">
              <w:rPr>
                <w:color w:val="000000" w:themeColor="text1"/>
              </w:rPr>
              <w:t>Direction de la santé, des affaires sociales et de l’intégration</w:t>
            </w:r>
          </w:p>
          <w:p w14:paraId="7A1504F3" w14:textId="77777777" w:rsidR="00A63F3D" w:rsidRPr="00A7075F" w:rsidRDefault="00A63F3D" w:rsidP="001D57F5">
            <w:pPr>
              <w:pStyle w:val="Text85pt"/>
              <w:rPr>
                <w:color w:val="000000" w:themeColor="text1"/>
              </w:rPr>
            </w:pPr>
            <w:r w:rsidRPr="00A7075F">
              <w:rPr>
                <w:color w:val="000000" w:themeColor="text1"/>
              </w:rPr>
              <w:t>Office de l’intégration et de l’action sociale</w:t>
            </w:r>
          </w:p>
          <w:p w14:paraId="136BE23B" w14:textId="77777777" w:rsidR="00A63F3D" w:rsidRPr="00A7075F" w:rsidRDefault="00A63F3D" w:rsidP="001D57F5">
            <w:pPr>
              <w:pStyle w:val="Text85pt"/>
              <w:rPr>
                <w:color w:val="000000" w:themeColor="text1"/>
              </w:rPr>
            </w:pPr>
          </w:p>
        </w:tc>
      </w:tr>
      <w:tr w:rsidR="00A63F3D" w:rsidRPr="00A7075F" w14:paraId="33A7C008" w14:textId="77777777" w:rsidTr="001D57F5">
        <w:trPr>
          <w:trHeight w:val="284"/>
        </w:trPr>
        <w:tc>
          <w:tcPr>
            <w:tcW w:w="5102" w:type="dxa"/>
            <w:vMerge/>
          </w:tcPr>
          <w:p w14:paraId="274F98DB" w14:textId="77777777" w:rsidR="00A63F3D" w:rsidRPr="00A7075F" w:rsidRDefault="00A63F3D" w:rsidP="001D57F5">
            <w:pPr>
              <w:rPr>
                <w:color w:val="000000" w:themeColor="text1"/>
              </w:rPr>
            </w:pPr>
          </w:p>
        </w:tc>
      </w:tr>
      <w:tr w:rsidR="00A63F3D" w:rsidRPr="00A7075F" w14:paraId="2CCF2991" w14:textId="77777777" w:rsidTr="001D57F5">
        <w:trPr>
          <w:trHeight w:val="284"/>
        </w:trPr>
        <w:tc>
          <w:tcPr>
            <w:tcW w:w="5102" w:type="dxa"/>
            <w:vMerge/>
          </w:tcPr>
          <w:p w14:paraId="457ECEC5" w14:textId="77777777" w:rsidR="00A63F3D" w:rsidRPr="00A7075F" w:rsidRDefault="00A63F3D" w:rsidP="001D57F5">
            <w:pPr>
              <w:rPr>
                <w:color w:val="000000" w:themeColor="text1"/>
              </w:rPr>
            </w:pPr>
          </w:p>
        </w:tc>
      </w:tr>
    </w:tbl>
    <w:p w14:paraId="227A7CE4" w14:textId="77777777" w:rsidR="00A63F3D" w:rsidRPr="00A7075F" w:rsidRDefault="00A63F3D" w:rsidP="00A63F3D">
      <w:pPr>
        <w:autoSpaceDE w:val="0"/>
        <w:autoSpaceDN w:val="0"/>
        <w:adjustRightInd w:val="0"/>
        <w:rPr>
          <w:b/>
          <w:color w:val="000000" w:themeColor="text1"/>
          <w:sz w:val="28"/>
          <w:szCs w:val="28"/>
        </w:rPr>
      </w:pPr>
      <w:r>
        <w:rPr>
          <w:b/>
          <w:color w:val="000000" w:themeColor="text1"/>
          <w:sz w:val="28"/>
          <w:szCs w:val="28"/>
        </w:rPr>
        <w:t xml:space="preserve">Introduction - </w:t>
      </w:r>
      <w:r w:rsidRPr="00A7075F">
        <w:rPr>
          <w:b/>
          <w:color w:val="000000" w:themeColor="text1"/>
          <w:sz w:val="28"/>
          <w:szCs w:val="28"/>
        </w:rPr>
        <w:t>Outil de calcul de la participation aux frais pour l’aide à plus long terme fournie par un tiers et des indemnités</w:t>
      </w:r>
    </w:p>
    <w:p w14:paraId="5015E8CE" w14:textId="77777777" w:rsidR="00A63F3D" w:rsidRPr="00A7075F" w:rsidRDefault="00A63F3D" w:rsidP="00A63F3D">
      <w:pPr>
        <w:autoSpaceDE w:val="0"/>
        <w:autoSpaceDN w:val="0"/>
        <w:adjustRightInd w:val="0"/>
        <w:rPr>
          <w:color w:val="000000" w:themeColor="text1"/>
          <w:sz w:val="20"/>
          <w:szCs w:val="20"/>
        </w:rPr>
      </w:pPr>
    </w:p>
    <w:p w14:paraId="73910697" w14:textId="77777777" w:rsidR="00A63F3D" w:rsidRPr="00A7075F" w:rsidRDefault="00A63F3D" w:rsidP="00A63F3D">
      <w:pPr>
        <w:numPr>
          <w:ilvl w:val="0"/>
          <w:numId w:val="26"/>
        </w:numPr>
        <w:tabs>
          <w:tab w:val="clear" w:pos="1065"/>
          <w:tab w:val="num" w:pos="440"/>
        </w:tabs>
        <w:autoSpaceDE w:val="0"/>
        <w:autoSpaceDN w:val="0"/>
        <w:adjustRightInd w:val="0"/>
        <w:spacing w:line="240" w:lineRule="auto"/>
        <w:ind w:left="0" w:firstLine="0"/>
        <w:rPr>
          <w:b/>
          <w:color w:val="000000" w:themeColor="text1"/>
        </w:rPr>
      </w:pPr>
      <w:r w:rsidRPr="00A7075F">
        <w:rPr>
          <w:b/>
          <w:color w:val="000000" w:themeColor="text1"/>
        </w:rPr>
        <w:t>Domaine d’application</w:t>
      </w:r>
    </w:p>
    <w:p w14:paraId="1DB6D44E" w14:textId="77777777" w:rsidR="00A63F3D" w:rsidRPr="00A7075F" w:rsidRDefault="00A63F3D" w:rsidP="00A63F3D">
      <w:pPr>
        <w:tabs>
          <w:tab w:val="num" w:pos="440"/>
        </w:tabs>
        <w:autoSpaceDE w:val="0"/>
        <w:autoSpaceDN w:val="0"/>
        <w:adjustRightInd w:val="0"/>
        <w:rPr>
          <w:color w:val="000000" w:themeColor="text1"/>
        </w:rPr>
      </w:pPr>
    </w:p>
    <w:p w14:paraId="09FB7B26" w14:textId="77777777" w:rsidR="00A63F3D" w:rsidRPr="00A7075F" w:rsidRDefault="00A63F3D" w:rsidP="00A63F3D">
      <w:pPr>
        <w:tabs>
          <w:tab w:val="num" w:pos="440"/>
        </w:tabs>
        <w:autoSpaceDE w:val="0"/>
        <w:autoSpaceDN w:val="0"/>
        <w:adjustRightInd w:val="0"/>
        <w:rPr>
          <w:color w:val="000000" w:themeColor="text1"/>
        </w:rPr>
      </w:pPr>
      <w:r w:rsidRPr="00A7075F">
        <w:rPr>
          <w:color w:val="000000" w:themeColor="text1"/>
        </w:rPr>
        <w:t xml:space="preserve">Le présent outil de calcul (fichier Excel) permet de déterminer la participation aux frais </w:t>
      </w:r>
      <w:r>
        <w:rPr>
          <w:color w:val="000000" w:themeColor="text1"/>
        </w:rPr>
        <w:t>pour</w:t>
      </w:r>
      <w:r w:rsidRPr="00A7075F">
        <w:rPr>
          <w:color w:val="000000" w:themeColor="text1"/>
        </w:rPr>
        <w:t xml:space="preserve"> l’aide à plus long terme fournie par un tiers (art. 16 LAVI</w:t>
      </w:r>
      <w:r w:rsidRPr="00A7075F">
        <w:rPr>
          <w:rStyle w:val="Funotenzeichen"/>
          <w:color w:val="000000" w:themeColor="text1"/>
          <w:sz w:val="22"/>
          <w:lang w:val="fr-CH"/>
        </w:rPr>
        <w:footnoteReference w:id="1"/>
      </w:r>
      <w:r w:rsidRPr="00A7075F">
        <w:rPr>
          <w:color w:val="000000" w:themeColor="text1"/>
        </w:rPr>
        <w:t xml:space="preserve"> en corrélation avec l’art. 3 OAVI</w:t>
      </w:r>
      <w:r w:rsidRPr="00A7075F">
        <w:rPr>
          <w:rStyle w:val="Funotenzeichen"/>
          <w:color w:val="000000" w:themeColor="text1"/>
          <w:sz w:val="22"/>
          <w:lang w:val="fr-CH"/>
        </w:rPr>
        <w:footnoteReference w:id="2"/>
      </w:r>
      <w:r w:rsidRPr="00A7075F">
        <w:rPr>
          <w:color w:val="000000" w:themeColor="text1"/>
        </w:rPr>
        <w:t xml:space="preserve">) et le droit aux indemnités (art. 20 LAVI en corrélation avec l’art. 6 OAVI). </w:t>
      </w:r>
    </w:p>
    <w:p w14:paraId="0FB006DF" w14:textId="77777777" w:rsidR="00A63F3D" w:rsidRPr="00A7075F" w:rsidRDefault="00A63F3D" w:rsidP="00A63F3D">
      <w:pPr>
        <w:tabs>
          <w:tab w:val="num" w:pos="440"/>
        </w:tabs>
        <w:autoSpaceDE w:val="0"/>
        <w:autoSpaceDN w:val="0"/>
        <w:adjustRightInd w:val="0"/>
        <w:rPr>
          <w:color w:val="000000" w:themeColor="text1"/>
        </w:rPr>
      </w:pPr>
    </w:p>
    <w:p w14:paraId="6F0456FA" w14:textId="77777777" w:rsidR="00A63F3D" w:rsidRPr="00A7075F" w:rsidRDefault="00A63F3D" w:rsidP="00A63F3D">
      <w:pPr>
        <w:tabs>
          <w:tab w:val="num" w:pos="440"/>
        </w:tabs>
        <w:autoSpaceDE w:val="0"/>
        <w:autoSpaceDN w:val="0"/>
        <w:adjustRightInd w:val="0"/>
        <w:rPr>
          <w:color w:val="000000" w:themeColor="text1"/>
          <w:u w:val="single"/>
        </w:rPr>
      </w:pPr>
      <w:r w:rsidRPr="00A7075F">
        <w:rPr>
          <w:color w:val="000000" w:themeColor="text1"/>
          <w:u w:val="single"/>
        </w:rPr>
        <w:t>Demande d’aide à plus long terme fournie par un tiers</w:t>
      </w:r>
      <w:r>
        <w:rPr>
          <w:color w:val="000000" w:themeColor="text1"/>
          <w:u w:val="single"/>
        </w:rPr>
        <w:t> :</w:t>
      </w:r>
    </w:p>
    <w:p w14:paraId="148996FB" w14:textId="77777777" w:rsidR="00A63F3D" w:rsidRPr="00A7075F" w:rsidRDefault="00A63F3D" w:rsidP="00A63F3D">
      <w:pPr>
        <w:tabs>
          <w:tab w:val="num" w:pos="440"/>
        </w:tabs>
        <w:autoSpaceDE w:val="0"/>
        <w:autoSpaceDN w:val="0"/>
        <w:adjustRightInd w:val="0"/>
        <w:rPr>
          <w:color w:val="000000" w:themeColor="text1"/>
        </w:rPr>
      </w:pPr>
      <w:r w:rsidRPr="00A7075F">
        <w:rPr>
          <w:color w:val="000000" w:themeColor="text1"/>
        </w:rPr>
        <w:t>Cet outil de calcul peut être utilisé pour les demandes déposées à la Direction de la santé, des affaires sociales et de l’intégratio</w:t>
      </w:r>
      <w:r>
        <w:rPr>
          <w:color w:val="000000" w:themeColor="text1"/>
        </w:rPr>
        <w:t xml:space="preserve">n </w:t>
      </w:r>
      <w:r w:rsidRPr="00A7075F">
        <w:rPr>
          <w:color w:val="000000" w:themeColor="text1"/>
        </w:rPr>
        <w:t>du canton de Berne (</w:t>
      </w:r>
      <w:r>
        <w:rPr>
          <w:color w:val="000000" w:themeColor="text1"/>
        </w:rPr>
        <w:t>DSSI</w:t>
      </w:r>
      <w:r w:rsidRPr="00A7075F">
        <w:rPr>
          <w:color w:val="000000" w:themeColor="text1"/>
        </w:rPr>
        <w:t>) après le 1</w:t>
      </w:r>
      <w:r w:rsidRPr="00A7075F">
        <w:rPr>
          <w:color w:val="000000" w:themeColor="text1"/>
          <w:vertAlign w:val="superscript"/>
        </w:rPr>
        <w:t>er</w:t>
      </w:r>
      <w:r w:rsidRPr="00A7075F">
        <w:rPr>
          <w:color w:val="000000" w:themeColor="text1"/>
        </w:rPr>
        <w:t xml:space="preserve"> janvier 2009</w:t>
      </w:r>
      <w:r>
        <w:rPr>
          <w:color w:val="000000" w:themeColor="text1"/>
        </w:rPr>
        <w:t xml:space="preserve"> (soit après l’entrée en vigueur de la révision de la LAVI)</w:t>
      </w:r>
      <w:r w:rsidRPr="00A7075F">
        <w:rPr>
          <w:color w:val="000000" w:themeColor="text1"/>
        </w:rPr>
        <w:t xml:space="preserve">, quelle que soit la date de l’infraction (art. 48, lit </w:t>
      </w:r>
      <w:r w:rsidRPr="00A7075F">
        <w:rPr>
          <w:i/>
          <w:color w:val="000000" w:themeColor="text1"/>
        </w:rPr>
        <w:t>b</w:t>
      </w:r>
      <w:r w:rsidRPr="00A7075F">
        <w:rPr>
          <w:color w:val="000000" w:themeColor="text1"/>
        </w:rPr>
        <w:t xml:space="preserve"> LAVI).</w:t>
      </w:r>
    </w:p>
    <w:p w14:paraId="7D71CCDC" w14:textId="77777777" w:rsidR="00A63F3D" w:rsidRDefault="00A63F3D" w:rsidP="00A63F3D">
      <w:pPr>
        <w:tabs>
          <w:tab w:val="num" w:pos="440"/>
        </w:tabs>
        <w:autoSpaceDE w:val="0"/>
        <w:autoSpaceDN w:val="0"/>
        <w:adjustRightInd w:val="0"/>
        <w:rPr>
          <w:color w:val="000000" w:themeColor="text1"/>
        </w:rPr>
      </w:pPr>
    </w:p>
    <w:p w14:paraId="11CCFE2C" w14:textId="77777777" w:rsidR="00A63F3D" w:rsidRPr="00A7075F" w:rsidRDefault="00A63F3D" w:rsidP="00A63F3D">
      <w:pPr>
        <w:tabs>
          <w:tab w:val="num" w:pos="440"/>
        </w:tabs>
        <w:autoSpaceDE w:val="0"/>
        <w:autoSpaceDN w:val="0"/>
        <w:adjustRightInd w:val="0"/>
        <w:rPr>
          <w:color w:val="000000" w:themeColor="text1"/>
          <w:u w:val="single"/>
        </w:rPr>
      </w:pPr>
      <w:r w:rsidRPr="00A7075F">
        <w:rPr>
          <w:color w:val="000000" w:themeColor="text1"/>
          <w:u w:val="single"/>
        </w:rPr>
        <w:t>Demande d’indemnité</w:t>
      </w:r>
      <w:r>
        <w:rPr>
          <w:color w:val="000000" w:themeColor="text1"/>
          <w:u w:val="single"/>
        </w:rPr>
        <w:t> :</w:t>
      </w:r>
    </w:p>
    <w:p w14:paraId="003FA758" w14:textId="77777777" w:rsidR="00A63F3D" w:rsidRPr="00A7075F" w:rsidRDefault="00A63F3D" w:rsidP="00A63F3D">
      <w:pPr>
        <w:tabs>
          <w:tab w:val="num" w:pos="440"/>
        </w:tabs>
        <w:autoSpaceDE w:val="0"/>
        <w:autoSpaceDN w:val="0"/>
        <w:adjustRightInd w:val="0"/>
        <w:rPr>
          <w:color w:val="000000" w:themeColor="text1"/>
        </w:rPr>
      </w:pPr>
      <w:r w:rsidRPr="00A7075F">
        <w:rPr>
          <w:color w:val="000000" w:themeColor="text1"/>
        </w:rPr>
        <w:t>En revanche, la date de l’infraction est déterminante pour le</w:t>
      </w:r>
      <w:r>
        <w:rPr>
          <w:color w:val="000000" w:themeColor="text1"/>
        </w:rPr>
        <w:t xml:space="preserve"> calcul de</w:t>
      </w:r>
      <w:r w:rsidRPr="00A7075F">
        <w:rPr>
          <w:color w:val="000000" w:themeColor="text1"/>
        </w:rPr>
        <w:t>s indemnités. L’outil de calcul est adapté uniquement aux demandes portant sur des infractions commises après le 1</w:t>
      </w:r>
      <w:r w:rsidRPr="00A7075F">
        <w:rPr>
          <w:color w:val="000000" w:themeColor="text1"/>
          <w:vertAlign w:val="superscript"/>
        </w:rPr>
        <w:t>er</w:t>
      </w:r>
      <w:r w:rsidRPr="00A7075F">
        <w:rPr>
          <w:color w:val="000000" w:themeColor="text1"/>
        </w:rPr>
        <w:t xml:space="preserve"> janvier 2009 (soit après l’entrée en vigueur de la révision de la LAVI, art. 48 lit </w:t>
      </w:r>
      <w:r w:rsidRPr="00A7075F">
        <w:rPr>
          <w:i/>
          <w:color w:val="000000" w:themeColor="text1"/>
        </w:rPr>
        <w:t>a</w:t>
      </w:r>
      <w:r w:rsidRPr="00A7075F">
        <w:rPr>
          <w:color w:val="000000" w:themeColor="text1"/>
        </w:rPr>
        <w:t xml:space="preserve"> LAVI). Le calcul des indemnités pour les </w:t>
      </w:r>
      <w:r>
        <w:rPr>
          <w:color w:val="000000" w:themeColor="text1"/>
        </w:rPr>
        <w:t>infractions</w:t>
      </w:r>
      <w:r w:rsidRPr="00A7075F">
        <w:rPr>
          <w:color w:val="000000" w:themeColor="text1"/>
        </w:rPr>
        <w:t xml:space="preserve"> commis</w:t>
      </w:r>
      <w:r>
        <w:rPr>
          <w:color w:val="000000" w:themeColor="text1"/>
        </w:rPr>
        <w:t>es</w:t>
      </w:r>
      <w:r w:rsidRPr="00A7075F">
        <w:rPr>
          <w:color w:val="000000" w:themeColor="text1"/>
        </w:rPr>
        <w:t xml:space="preserve"> auparavant s’effectue encore selon l’ancien droit, soit selon l’</w:t>
      </w:r>
      <w:proofErr w:type="spellStart"/>
      <w:r w:rsidRPr="00A7075F">
        <w:rPr>
          <w:color w:val="000000" w:themeColor="text1"/>
        </w:rPr>
        <w:t>aLAVI</w:t>
      </w:r>
      <w:proofErr w:type="spellEnd"/>
      <w:r w:rsidRPr="00A7075F">
        <w:rPr>
          <w:color w:val="000000" w:themeColor="text1"/>
          <w:vertAlign w:val="superscript"/>
        </w:rPr>
        <w:footnoteReference w:id="3"/>
      </w:r>
      <w:r w:rsidRPr="00A7075F">
        <w:rPr>
          <w:color w:val="000000" w:themeColor="text1"/>
        </w:rPr>
        <w:t xml:space="preserve">. </w:t>
      </w:r>
    </w:p>
    <w:p w14:paraId="250387C7" w14:textId="77777777" w:rsidR="00A63F3D" w:rsidRPr="00A7075F" w:rsidRDefault="00A63F3D" w:rsidP="00A63F3D">
      <w:pPr>
        <w:tabs>
          <w:tab w:val="num" w:pos="440"/>
        </w:tabs>
        <w:autoSpaceDE w:val="0"/>
        <w:autoSpaceDN w:val="0"/>
        <w:adjustRightInd w:val="0"/>
        <w:rPr>
          <w:color w:val="000000" w:themeColor="text1"/>
        </w:rPr>
      </w:pPr>
    </w:p>
    <w:p w14:paraId="137CA89A" w14:textId="77777777" w:rsidR="00A63F3D" w:rsidRPr="00A7075F" w:rsidRDefault="00A63F3D" w:rsidP="00A63F3D">
      <w:pPr>
        <w:tabs>
          <w:tab w:val="num" w:pos="440"/>
        </w:tabs>
        <w:autoSpaceDE w:val="0"/>
        <w:autoSpaceDN w:val="0"/>
        <w:adjustRightInd w:val="0"/>
        <w:rPr>
          <w:color w:val="000000" w:themeColor="text1"/>
        </w:rPr>
      </w:pPr>
    </w:p>
    <w:p w14:paraId="305CCC80" w14:textId="77777777" w:rsidR="00A63F3D" w:rsidRPr="00A7075F" w:rsidRDefault="00A63F3D" w:rsidP="00A63F3D">
      <w:pPr>
        <w:numPr>
          <w:ilvl w:val="0"/>
          <w:numId w:val="26"/>
        </w:numPr>
        <w:tabs>
          <w:tab w:val="clear" w:pos="1065"/>
        </w:tabs>
        <w:spacing w:line="240" w:lineRule="auto"/>
        <w:ind w:left="440" w:hanging="440"/>
        <w:rPr>
          <w:b/>
          <w:color w:val="000000" w:themeColor="text1"/>
        </w:rPr>
      </w:pPr>
      <w:r w:rsidRPr="00A7075F">
        <w:rPr>
          <w:b/>
          <w:color w:val="000000" w:themeColor="text1"/>
        </w:rPr>
        <w:t>Calcul provisoire</w:t>
      </w:r>
    </w:p>
    <w:p w14:paraId="731E18F2" w14:textId="77777777" w:rsidR="00A63F3D" w:rsidRPr="00A7075F" w:rsidRDefault="00A63F3D" w:rsidP="00A63F3D">
      <w:pPr>
        <w:rPr>
          <w:color w:val="000000" w:themeColor="text1"/>
        </w:rPr>
      </w:pPr>
    </w:p>
    <w:p w14:paraId="64B002EF" w14:textId="77777777" w:rsidR="00A63F3D" w:rsidRPr="00A7075F" w:rsidRDefault="00A63F3D" w:rsidP="00A63F3D">
      <w:pPr>
        <w:rPr>
          <w:color w:val="000000" w:themeColor="text1"/>
        </w:rPr>
      </w:pPr>
      <w:r w:rsidRPr="00A7075F">
        <w:rPr>
          <w:color w:val="000000" w:themeColor="text1"/>
        </w:rPr>
        <w:t xml:space="preserve">L’outil de calcul représente uniquement une aide pour la victime ou ses </w:t>
      </w:r>
      <w:proofErr w:type="spellStart"/>
      <w:r w:rsidRPr="00A7075F">
        <w:rPr>
          <w:color w:val="000000" w:themeColor="text1"/>
        </w:rPr>
        <w:t>représentant·e·s</w:t>
      </w:r>
      <w:proofErr w:type="spellEnd"/>
      <w:r w:rsidRPr="00A7075F">
        <w:rPr>
          <w:color w:val="000000" w:themeColor="text1"/>
        </w:rPr>
        <w:t xml:space="preserve">, qui peuvent ainsi évaluer les prestations financières auxquelles elle peut s’attendre avant d’introduire une demande à la </w:t>
      </w:r>
      <w:r>
        <w:rPr>
          <w:color w:val="000000" w:themeColor="text1"/>
        </w:rPr>
        <w:t>DSSI</w:t>
      </w:r>
      <w:r w:rsidRPr="00A7075F">
        <w:rPr>
          <w:color w:val="000000" w:themeColor="text1"/>
        </w:rPr>
        <w:t>.</w:t>
      </w:r>
    </w:p>
    <w:p w14:paraId="4F6D70F3" w14:textId="77777777" w:rsidR="00A63F3D" w:rsidRPr="00A7075F" w:rsidRDefault="00A63F3D" w:rsidP="00A63F3D">
      <w:pPr>
        <w:rPr>
          <w:color w:val="000000" w:themeColor="text1"/>
        </w:rPr>
      </w:pPr>
    </w:p>
    <w:p w14:paraId="34930A39" w14:textId="77777777" w:rsidR="00A63F3D" w:rsidRPr="00A7075F" w:rsidRDefault="00A63F3D" w:rsidP="00A63F3D">
      <w:pPr>
        <w:rPr>
          <w:color w:val="000000" w:themeColor="text1"/>
        </w:rPr>
      </w:pPr>
      <w:r w:rsidRPr="00A7075F">
        <w:rPr>
          <w:color w:val="000000" w:themeColor="text1"/>
        </w:rPr>
        <w:t xml:space="preserve">C’est la </w:t>
      </w:r>
      <w:r>
        <w:rPr>
          <w:b/>
          <w:color w:val="000000" w:themeColor="text1"/>
        </w:rPr>
        <w:t>DSSI</w:t>
      </w:r>
      <w:r w:rsidRPr="00A7075F">
        <w:rPr>
          <w:color w:val="000000" w:themeColor="text1"/>
        </w:rPr>
        <w:t xml:space="preserve">, en effet, qui, </w:t>
      </w:r>
      <w:r w:rsidRPr="00A7075F">
        <w:rPr>
          <w:b/>
          <w:color w:val="000000" w:themeColor="text1"/>
        </w:rPr>
        <w:t>dans tous les cas, effectue le calcul définitif</w:t>
      </w:r>
      <w:r w:rsidRPr="00A7075F">
        <w:rPr>
          <w:color w:val="000000" w:themeColor="text1"/>
        </w:rPr>
        <w:t xml:space="preserve"> de la participation aux frais et de l’indemnité sur la base du dossier de la victime. Il est donc essentiel que l’état des revenus et de la fortune de celle-ci </w:t>
      </w:r>
      <w:r>
        <w:rPr>
          <w:color w:val="000000" w:themeColor="text1"/>
        </w:rPr>
        <w:t>et/</w:t>
      </w:r>
      <w:r w:rsidRPr="00A7075F">
        <w:rPr>
          <w:color w:val="000000" w:themeColor="text1"/>
        </w:rPr>
        <w:t xml:space="preserve">ou de ses proches soit joint à toute demande (voir point 3). Le plus simple est d’y ajouter une copie de la dernière taxation </w:t>
      </w:r>
      <w:r>
        <w:rPr>
          <w:color w:val="000000" w:themeColor="text1"/>
        </w:rPr>
        <w:t>fiscale</w:t>
      </w:r>
      <w:r w:rsidRPr="00A7075F">
        <w:rPr>
          <w:color w:val="000000" w:themeColor="text1"/>
        </w:rPr>
        <w:t xml:space="preserve"> définitive, y compris les feuilles détaillées </w:t>
      </w:r>
      <w:r>
        <w:rPr>
          <w:color w:val="000000" w:themeColor="text1"/>
        </w:rPr>
        <w:t>sur le</w:t>
      </w:r>
      <w:r w:rsidRPr="00A7075F">
        <w:rPr>
          <w:color w:val="000000" w:themeColor="text1"/>
        </w:rPr>
        <w:t xml:space="preserve"> revenu et la fortune</w:t>
      </w:r>
      <w:r w:rsidRPr="00482D8D">
        <w:rPr>
          <w:color w:val="000000" w:themeColor="text1"/>
        </w:rPr>
        <w:t>. Si certains postes ne correspondent plus à la situation actuelle ou si la victime et/ou ses proches sont taxés par appréciation, ils doivent être justifiés séparément (par exemple au moyen du dernier certificat de salaire ou des fiches de salaire des six derniers mois ainsi que d'un extrait de compte actuel).</w:t>
      </w:r>
    </w:p>
    <w:p w14:paraId="07FBEE6C" w14:textId="77777777" w:rsidR="00A63F3D" w:rsidRPr="00A7075F" w:rsidRDefault="00A63F3D" w:rsidP="00A63F3D">
      <w:pPr>
        <w:rPr>
          <w:color w:val="000000" w:themeColor="text1"/>
        </w:rPr>
      </w:pPr>
    </w:p>
    <w:p w14:paraId="66F6642C" w14:textId="77777777" w:rsidR="00A63F3D" w:rsidRPr="00A7075F" w:rsidRDefault="00A63F3D" w:rsidP="00A63F3D">
      <w:pPr>
        <w:tabs>
          <w:tab w:val="num" w:pos="440"/>
        </w:tabs>
        <w:autoSpaceDE w:val="0"/>
        <w:autoSpaceDN w:val="0"/>
        <w:adjustRightInd w:val="0"/>
        <w:rPr>
          <w:color w:val="000000" w:themeColor="text1"/>
        </w:rPr>
      </w:pPr>
      <w:r w:rsidRPr="00A7075F">
        <w:rPr>
          <w:color w:val="000000" w:themeColor="text1"/>
        </w:rPr>
        <w:t xml:space="preserve">L’outil de calcul ne prétend pas être complet, pas plus pour le </w:t>
      </w:r>
      <w:r>
        <w:rPr>
          <w:color w:val="000000" w:themeColor="text1"/>
        </w:rPr>
        <w:t xml:space="preserve">montant du </w:t>
      </w:r>
      <w:r w:rsidRPr="00A7075F">
        <w:rPr>
          <w:color w:val="000000" w:themeColor="text1"/>
        </w:rPr>
        <w:t>revenu que pour les personnes à prendre en compte</w:t>
      </w:r>
      <w:r>
        <w:rPr>
          <w:color w:val="000000" w:themeColor="text1"/>
        </w:rPr>
        <w:t xml:space="preserve"> dans le calcul de la participation aux frais ou de l’indemnité</w:t>
      </w:r>
      <w:r w:rsidRPr="00A7075F">
        <w:rPr>
          <w:color w:val="000000" w:themeColor="text1"/>
        </w:rPr>
        <w:t xml:space="preserve">. </w:t>
      </w:r>
      <w:r>
        <w:rPr>
          <w:color w:val="000000" w:themeColor="text1"/>
        </w:rPr>
        <w:t>Des cas particuliers sont envisageables, lesquels ne sont pas (ou pas parfaitement) couverts par l’outil de calcul.</w:t>
      </w:r>
    </w:p>
    <w:p w14:paraId="156DDC01" w14:textId="77777777" w:rsidR="00A63F3D" w:rsidRPr="00A7075F" w:rsidRDefault="00A63F3D" w:rsidP="00A63F3D">
      <w:pPr>
        <w:rPr>
          <w:color w:val="000000" w:themeColor="text1"/>
        </w:rPr>
      </w:pPr>
    </w:p>
    <w:p w14:paraId="329DDB0B" w14:textId="77777777" w:rsidR="00A63F3D" w:rsidRDefault="00A63F3D" w:rsidP="00A63F3D">
      <w:pPr>
        <w:tabs>
          <w:tab w:val="num" w:pos="440"/>
        </w:tabs>
        <w:autoSpaceDE w:val="0"/>
        <w:autoSpaceDN w:val="0"/>
        <w:adjustRightInd w:val="0"/>
        <w:rPr>
          <w:color w:val="000000" w:themeColor="text1"/>
        </w:rPr>
      </w:pPr>
    </w:p>
    <w:p w14:paraId="6CE9162D" w14:textId="77777777" w:rsidR="00A63F3D" w:rsidRDefault="00A63F3D" w:rsidP="00A63F3D">
      <w:pPr>
        <w:tabs>
          <w:tab w:val="num" w:pos="440"/>
        </w:tabs>
        <w:autoSpaceDE w:val="0"/>
        <w:autoSpaceDN w:val="0"/>
        <w:adjustRightInd w:val="0"/>
        <w:rPr>
          <w:color w:val="000000" w:themeColor="text1"/>
        </w:rPr>
      </w:pPr>
    </w:p>
    <w:p w14:paraId="4504ACBD" w14:textId="77777777" w:rsidR="00A63F3D" w:rsidRDefault="00A63F3D" w:rsidP="00A63F3D">
      <w:pPr>
        <w:tabs>
          <w:tab w:val="num" w:pos="440"/>
        </w:tabs>
        <w:autoSpaceDE w:val="0"/>
        <w:autoSpaceDN w:val="0"/>
        <w:adjustRightInd w:val="0"/>
        <w:rPr>
          <w:color w:val="000000" w:themeColor="text1"/>
        </w:rPr>
      </w:pPr>
    </w:p>
    <w:p w14:paraId="5F63BA2E" w14:textId="77777777" w:rsidR="00A63F3D" w:rsidRDefault="00A63F3D" w:rsidP="00A63F3D">
      <w:pPr>
        <w:tabs>
          <w:tab w:val="num" w:pos="440"/>
        </w:tabs>
        <w:autoSpaceDE w:val="0"/>
        <w:autoSpaceDN w:val="0"/>
        <w:adjustRightInd w:val="0"/>
        <w:rPr>
          <w:color w:val="000000" w:themeColor="text1"/>
        </w:rPr>
      </w:pPr>
    </w:p>
    <w:p w14:paraId="0FEA69A7" w14:textId="77777777" w:rsidR="00A63F3D" w:rsidRDefault="00A63F3D" w:rsidP="00A63F3D">
      <w:pPr>
        <w:tabs>
          <w:tab w:val="num" w:pos="440"/>
        </w:tabs>
        <w:autoSpaceDE w:val="0"/>
        <w:autoSpaceDN w:val="0"/>
        <w:adjustRightInd w:val="0"/>
        <w:rPr>
          <w:color w:val="000000" w:themeColor="text1"/>
        </w:rPr>
      </w:pPr>
    </w:p>
    <w:p w14:paraId="2EE3F792" w14:textId="77777777" w:rsidR="00A63F3D" w:rsidRPr="00A7075F" w:rsidRDefault="00A63F3D" w:rsidP="00A63F3D">
      <w:pPr>
        <w:tabs>
          <w:tab w:val="num" w:pos="440"/>
        </w:tabs>
        <w:autoSpaceDE w:val="0"/>
        <w:autoSpaceDN w:val="0"/>
        <w:adjustRightInd w:val="0"/>
        <w:rPr>
          <w:color w:val="000000" w:themeColor="text1"/>
        </w:rPr>
      </w:pPr>
    </w:p>
    <w:p w14:paraId="7A9D75F3" w14:textId="77777777" w:rsidR="00A63F3D" w:rsidRPr="00A7075F" w:rsidRDefault="00A63F3D" w:rsidP="00A63F3D">
      <w:pPr>
        <w:tabs>
          <w:tab w:val="num" w:pos="440"/>
        </w:tabs>
        <w:autoSpaceDE w:val="0"/>
        <w:autoSpaceDN w:val="0"/>
        <w:adjustRightInd w:val="0"/>
        <w:rPr>
          <w:b/>
          <w:color w:val="000000" w:themeColor="text1"/>
        </w:rPr>
      </w:pPr>
      <w:r w:rsidRPr="00A7075F">
        <w:rPr>
          <w:b/>
          <w:color w:val="000000" w:themeColor="text1"/>
        </w:rPr>
        <w:lastRenderedPageBreak/>
        <w:t>3.</w:t>
      </w:r>
      <w:r w:rsidRPr="00A7075F">
        <w:rPr>
          <w:b/>
          <w:color w:val="000000" w:themeColor="text1"/>
        </w:rPr>
        <w:tab/>
        <w:t xml:space="preserve">Victime vivant seule ou </w:t>
      </w:r>
      <w:r>
        <w:rPr>
          <w:b/>
          <w:color w:val="000000" w:themeColor="text1"/>
        </w:rPr>
        <w:t>en ménage commun</w:t>
      </w:r>
      <w:r w:rsidRPr="00A7075F">
        <w:rPr>
          <w:b/>
          <w:color w:val="000000" w:themeColor="text1"/>
        </w:rPr>
        <w:t xml:space="preserve"> </w:t>
      </w:r>
    </w:p>
    <w:p w14:paraId="05C2EA49" w14:textId="77777777" w:rsidR="00A63F3D" w:rsidRPr="00A7075F" w:rsidRDefault="00A63F3D" w:rsidP="00A63F3D">
      <w:pPr>
        <w:tabs>
          <w:tab w:val="num" w:pos="440"/>
        </w:tabs>
        <w:autoSpaceDE w:val="0"/>
        <w:autoSpaceDN w:val="0"/>
        <w:adjustRightInd w:val="0"/>
        <w:rPr>
          <w:color w:val="000000" w:themeColor="text1"/>
        </w:rPr>
      </w:pPr>
    </w:p>
    <w:p w14:paraId="21A2A180" w14:textId="77777777" w:rsidR="00A63F3D" w:rsidRDefault="00A63F3D" w:rsidP="00A63F3D">
      <w:pPr>
        <w:tabs>
          <w:tab w:val="num" w:pos="440"/>
        </w:tabs>
        <w:autoSpaceDE w:val="0"/>
        <w:autoSpaceDN w:val="0"/>
        <w:adjustRightInd w:val="0"/>
        <w:rPr>
          <w:color w:val="000000" w:themeColor="text1"/>
        </w:rPr>
      </w:pPr>
      <w:r w:rsidRPr="00A7075F">
        <w:rPr>
          <w:color w:val="000000" w:themeColor="text1"/>
        </w:rPr>
        <w:t xml:space="preserve">Selon l’article 6, alinéa 1 LAVI, </w:t>
      </w:r>
      <w:r w:rsidRPr="00A7075F">
        <w:rPr>
          <w:color w:val="000000" w:themeColor="text1"/>
          <w:lang w:val="fr-FR"/>
        </w:rPr>
        <w:t>seuls ont droit à une contribution aux frais pour l’aide à plus long terme fournie par un tiers ou à une indemnité les victimes et les proches dont les revenus déterminants ne dépassent pas le quadruple du montant destiné à la couverture des besoins vitaux selon la LPC</w:t>
      </w:r>
      <w:r w:rsidRPr="00A7075F">
        <w:rPr>
          <w:rStyle w:val="Funotenzeichen"/>
          <w:color w:val="000000" w:themeColor="text1"/>
          <w:sz w:val="22"/>
          <w:lang w:val="fr-CH"/>
        </w:rPr>
        <w:footnoteReference w:id="4"/>
      </w:r>
      <w:r w:rsidRPr="00A7075F">
        <w:rPr>
          <w:color w:val="000000" w:themeColor="text1"/>
        </w:rPr>
        <w:t xml:space="preserve">. </w:t>
      </w:r>
    </w:p>
    <w:p w14:paraId="771A8111" w14:textId="77777777" w:rsidR="00A63F3D" w:rsidRPr="00A7075F" w:rsidRDefault="00A63F3D" w:rsidP="00A63F3D">
      <w:pPr>
        <w:tabs>
          <w:tab w:val="num" w:pos="440"/>
        </w:tabs>
        <w:autoSpaceDE w:val="0"/>
        <w:autoSpaceDN w:val="0"/>
        <w:adjustRightInd w:val="0"/>
        <w:rPr>
          <w:color w:val="000000" w:themeColor="text1"/>
        </w:rPr>
      </w:pPr>
    </w:p>
    <w:p w14:paraId="4ED653A6" w14:textId="77777777" w:rsidR="00A63F3D" w:rsidRPr="006F4E82" w:rsidRDefault="00A63F3D" w:rsidP="00A63F3D">
      <w:pPr>
        <w:tabs>
          <w:tab w:val="num" w:pos="440"/>
        </w:tabs>
        <w:autoSpaceDE w:val="0"/>
        <w:autoSpaceDN w:val="0"/>
        <w:adjustRightInd w:val="0"/>
        <w:rPr>
          <w:color w:val="000000" w:themeColor="text1"/>
          <w:u w:val="single"/>
        </w:rPr>
      </w:pPr>
      <w:r w:rsidRPr="006F4E82">
        <w:rPr>
          <w:color w:val="000000" w:themeColor="text1"/>
          <w:u w:val="single"/>
        </w:rPr>
        <w:t>Revenus déterminants</w:t>
      </w:r>
      <w:r>
        <w:rPr>
          <w:color w:val="000000" w:themeColor="text1"/>
          <w:u w:val="single"/>
        </w:rPr>
        <w:t> :</w:t>
      </w:r>
    </w:p>
    <w:p w14:paraId="0F53E57E" w14:textId="77777777" w:rsidR="00A63F3D" w:rsidRPr="00A7075F" w:rsidRDefault="00A63F3D" w:rsidP="00A63F3D">
      <w:pPr>
        <w:tabs>
          <w:tab w:val="num" w:pos="440"/>
        </w:tabs>
        <w:autoSpaceDE w:val="0"/>
        <w:autoSpaceDN w:val="0"/>
        <w:adjustRightInd w:val="0"/>
        <w:rPr>
          <w:color w:val="000000" w:themeColor="text1"/>
          <w:lang w:val="fr-FR"/>
        </w:rPr>
      </w:pPr>
      <w:r w:rsidRPr="00A7075F">
        <w:rPr>
          <w:color w:val="000000" w:themeColor="text1"/>
        </w:rPr>
        <w:t xml:space="preserve">Les revenus </w:t>
      </w:r>
      <w:r>
        <w:rPr>
          <w:color w:val="000000" w:themeColor="text1"/>
        </w:rPr>
        <w:t>déterminants</w:t>
      </w:r>
      <w:r w:rsidRPr="00A7075F">
        <w:rPr>
          <w:color w:val="000000" w:themeColor="text1"/>
        </w:rPr>
        <w:t xml:space="preserve"> sont mentionnés à l’article 11, alinéas 1 et 3 LPC en corrélation avec l’article</w:t>
      </w:r>
      <w:r>
        <w:rPr>
          <w:color w:val="000000" w:themeColor="text1"/>
        </w:rPr>
        <w:t> </w:t>
      </w:r>
      <w:r w:rsidRPr="00A7075F">
        <w:rPr>
          <w:color w:val="000000" w:themeColor="text1"/>
        </w:rPr>
        <w:t xml:space="preserve">1, alinéa 2 OAVI. Les revenus </w:t>
      </w:r>
      <w:r>
        <w:rPr>
          <w:color w:val="000000" w:themeColor="text1"/>
        </w:rPr>
        <w:t xml:space="preserve">déterminants </w:t>
      </w:r>
      <w:r w:rsidRPr="00A7075F">
        <w:rPr>
          <w:color w:val="000000" w:themeColor="text1"/>
          <w:lang w:val="fr-FR"/>
        </w:rPr>
        <w:t xml:space="preserve">des époux, des partenaires enregistrés et des autres personnes qui font durablement ménage commun </w:t>
      </w:r>
      <w:r w:rsidRPr="00A7075F">
        <w:rPr>
          <w:color w:val="000000" w:themeColor="text1"/>
        </w:rPr>
        <w:t>(deux ans au moins</w:t>
      </w:r>
      <w:r w:rsidRPr="00A7075F">
        <w:rPr>
          <w:color w:val="000000" w:themeColor="text1"/>
          <w:vertAlign w:val="superscript"/>
        </w:rPr>
        <w:footnoteReference w:id="5"/>
      </w:r>
      <w:r w:rsidRPr="00A7075F">
        <w:rPr>
          <w:color w:val="000000" w:themeColor="text1"/>
        </w:rPr>
        <w:t xml:space="preserve">) sont additionnés (art. 2, al. 2 OAVI). </w:t>
      </w:r>
      <w:r w:rsidRPr="00A7075F">
        <w:rPr>
          <w:color w:val="000000" w:themeColor="text1"/>
          <w:lang w:val="fr-FR"/>
        </w:rPr>
        <w:t xml:space="preserve">Si l’ayant droit est mineur ou en formation, ses revenus déterminants sont additionnés aux revenus déterminants des père et mère avec lesquels il vit en ménage commun </w:t>
      </w:r>
      <w:r w:rsidRPr="00A7075F">
        <w:rPr>
          <w:color w:val="000000" w:themeColor="text1"/>
        </w:rPr>
        <w:t>(art. 2, al. 3 OAVI).</w:t>
      </w:r>
      <w:r w:rsidRPr="00A7075F">
        <w:rPr>
          <w:color w:val="000000" w:themeColor="text1"/>
          <w:lang w:val="fr-FR"/>
        </w:rPr>
        <w:t xml:space="preserve"> En revanche, les revenus de l’auteur de l’infraction qui vit dans le même ménage commun ne sont pas pris en compte, si les circonstances le justifient </w:t>
      </w:r>
      <w:r w:rsidRPr="00A7075F">
        <w:rPr>
          <w:color w:val="000000" w:themeColor="text1"/>
        </w:rPr>
        <w:t>(art. 2, al. 4 OAVI).</w:t>
      </w:r>
    </w:p>
    <w:p w14:paraId="2097D29D" w14:textId="77777777" w:rsidR="00A63F3D" w:rsidRPr="00A7075F" w:rsidRDefault="00A63F3D" w:rsidP="00A63F3D">
      <w:pPr>
        <w:tabs>
          <w:tab w:val="num" w:pos="440"/>
        </w:tabs>
        <w:autoSpaceDE w:val="0"/>
        <w:autoSpaceDN w:val="0"/>
        <w:adjustRightInd w:val="0"/>
        <w:rPr>
          <w:color w:val="000000" w:themeColor="text1"/>
        </w:rPr>
      </w:pPr>
    </w:p>
    <w:p w14:paraId="7B77A194" w14:textId="77777777" w:rsidR="00A63F3D" w:rsidRPr="006F4E82" w:rsidRDefault="00A63F3D" w:rsidP="00A63F3D">
      <w:pPr>
        <w:tabs>
          <w:tab w:val="num" w:pos="440"/>
        </w:tabs>
        <w:autoSpaceDE w:val="0"/>
        <w:autoSpaceDN w:val="0"/>
        <w:adjustRightInd w:val="0"/>
        <w:rPr>
          <w:color w:val="000000" w:themeColor="text1"/>
          <w:u w:val="single"/>
        </w:rPr>
      </w:pPr>
      <w:r w:rsidRPr="006F4E82">
        <w:rPr>
          <w:color w:val="000000" w:themeColor="text1"/>
          <w:u w:val="single"/>
        </w:rPr>
        <w:t>Besoins vitaux</w:t>
      </w:r>
      <w:r>
        <w:rPr>
          <w:color w:val="000000" w:themeColor="text1"/>
          <w:u w:val="single"/>
        </w:rPr>
        <w:t> :</w:t>
      </w:r>
    </w:p>
    <w:p w14:paraId="377EB516" w14:textId="77777777" w:rsidR="00A63F3D" w:rsidRPr="00A7075F" w:rsidRDefault="00A63F3D" w:rsidP="00A63F3D">
      <w:pPr>
        <w:tabs>
          <w:tab w:val="num" w:pos="440"/>
        </w:tabs>
        <w:autoSpaceDE w:val="0"/>
        <w:autoSpaceDN w:val="0"/>
        <w:adjustRightInd w:val="0"/>
        <w:rPr>
          <w:color w:val="000000" w:themeColor="text1"/>
        </w:rPr>
      </w:pPr>
      <w:r w:rsidRPr="00A7075F">
        <w:rPr>
          <w:color w:val="000000" w:themeColor="text1"/>
        </w:rPr>
        <w:t xml:space="preserve">Les </w:t>
      </w:r>
      <w:r w:rsidRPr="0013375A">
        <w:rPr>
          <w:color w:val="000000" w:themeColor="text1"/>
        </w:rPr>
        <w:t>montants destinés à la couverture des besoins vitaux</w:t>
      </w:r>
      <w:r>
        <w:rPr>
          <w:color w:val="000000" w:themeColor="text1"/>
        </w:rPr>
        <w:t xml:space="preserve"> de la victime et de ses proches</w:t>
      </w:r>
      <w:r w:rsidRPr="00A7075F">
        <w:rPr>
          <w:color w:val="000000" w:themeColor="text1"/>
        </w:rPr>
        <w:t xml:space="preserve"> figurent à l’article 10, alinéa 1, lettre </w:t>
      </w:r>
      <w:r w:rsidRPr="00A7075F">
        <w:rPr>
          <w:i/>
          <w:color w:val="000000" w:themeColor="text1"/>
        </w:rPr>
        <w:t>a</w:t>
      </w:r>
      <w:r w:rsidRPr="00A7075F">
        <w:rPr>
          <w:color w:val="000000" w:themeColor="text1"/>
        </w:rPr>
        <w:t xml:space="preserve"> LPC</w:t>
      </w:r>
      <w:r>
        <w:rPr>
          <w:color w:val="000000" w:themeColor="text1"/>
        </w:rPr>
        <w:t>.</w:t>
      </w:r>
    </w:p>
    <w:p w14:paraId="12F5CC76" w14:textId="77777777" w:rsidR="00A63F3D" w:rsidRPr="00A7075F" w:rsidRDefault="00A63F3D" w:rsidP="00A63F3D">
      <w:pPr>
        <w:tabs>
          <w:tab w:val="num" w:pos="440"/>
        </w:tabs>
        <w:autoSpaceDE w:val="0"/>
        <w:autoSpaceDN w:val="0"/>
        <w:adjustRightInd w:val="0"/>
        <w:rPr>
          <w:color w:val="000000" w:themeColor="text1"/>
        </w:rPr>
      </w:pPr>
    </w:p>
    <w:p w14:paraId="7AB17892" w14:textId="77777777" w:rsidR="00A63F3D" w:rsidRPr="00A7075F" w:rsidRDefault="00A63F3D" w:rsidP="00A63F3D">
      <w:pPr>
        <w:tabs>
          <w:tab w:val="num" w:pos="440"/>
        </w:tabs>
        <w:autoSpaceDE w:val="0"/>
        <w:autoSpaceDN w:val="0"/>
        <w:adjustRightInd w:val="0"/>
        <w:rPr>
          <w:color w:val="000000" w:themeColor="text1"/>
        </w:rPr>
      </w:pPr>
      <w:r w:rsidRPr="00A7075F">
        <w:rPr>
          <w:color w:val="000000" w:themeColor="text1"/>
        </w:rPr>
        <w:t>L’outil de calcul, établi selon ces catégories légales, se décline en trois feuilles</w:t>
      </w:r>
      <w:r>
        <w:rPr>
          <w:color w:val="000000" w:themeColor="text1"/>
        </w:rPr>
        <w:t xml:space="preserve"> distinctes</w:t>
      </w:r>
      <w:r w:rsidRPr="00A7075F">
        <w:rPr>
          <w:color w:val="000000" w:themeColor="text1"/>
        </w:rPr>
        <w:t xml:space="preserve"> : pour les personnes seules, pour les couples </w:t>
      </w:r>
      <w:r>
        <w:rPr>
          <w:color w:val="000000" w:themeColor="text1"/>
        </w:rPr>
        <w:t xml:space="preserve">(avec PC et sans PC) </w:t>
      </w:r>
      <w:r w:rsidRPr="00A7075F">
        <w:rPr>
          <w:color w:val="000000" w:themeColor="text1"/>
        </w:rPr>
        <w:t>et pour les victimes en formation.</w:t>
      </w:r>
    </w:p>
    <w:p w14:paraId="056B719A" w14:textId="77777777" w:rsidR="00A63F3D" w:rsidRPr="00A7075F" w:rsidRDefault="00A63F3D" w:rsidP="00A63F3D">
      <w:pPr>
        <w:tabs>
          <w:tab w:val="num" w:pos="440"/>
        </w:tabs>
        <w:autoSpaceDE w:val="0"/>
        <w:autoSpaceDN w:val="0"/>
        <w:adjustRightInd w:val="0"/>
        <w:rPr>
          <w:color w:val="000000" w:themeColor="text1"/>
        </w:rPr>
      </w:pPr>
    </w:p>
    <w:p w14:paraId="05F1DE77" w14:textId="77777777" w:rsidR="00A63F3D" w:rsidRPr="00A7075F" w:rsidRDefault="00A63F3D" w:rsidP="00A63F3D">
      <w:pPr>
        <w:tabs>
          <w:tab w:val="num" w:pos="440"/>
        </w:tabs>
        <w:autoSpaceDE w:val="0"/>
        <w:autoSpaceDN w:val="0"/>
        <w:adjustRightInd w:val="0"/>
        <w:rPr>
          <w:color w:val="000000" w:themeColor="text1"/>
        </w:rPr>
      </w:pPr>
    </w:p>
    <w:p w14:paraId="2AF03394" w14:textId="77777777" w:rsidR="00A63F3D" w:rsidRPr="00A7075F" w:rsidRDefault="00A63F3D" w:rsidP="00A63F3D">
      <w:pPr>
        <w:numPr>
          <w:ilvl w:val="0"/>
          <w:numId w:val="27"/>
        </w:numPr>
        <w:tabs>
          <w:tab w:val="clear" w:pos="720"/>
          <w:tab w:val="num" w:pos="440"/>
        </w:tabs>
        <w:autoSpaceDE w:val="0"/>
        <w:autoSpaceDN w:val="0"/>
        <w:adjustRightInd w:val="0"/>
        <w:spacing w:line="240" w:lineRule="auto"/>
        <w:ind w:hanging="720"/>
        <w:rPr>
          <w:b/>
          <w:color w:val="000000" w:themeColor="text1"/>
        </w:rPr>
      </w:pPr>
      <w:r w:rsidRPr="00A7075F">
        <w:rPr>
          <w:b/>
          <w:color w:val="000000" w:themeColor="text1"/>
        </w:rPr>
        <w:t>Mode d’emploi</w:t>
      </w:r>
    </w:p>
    <w:p w14:paraId="5BF77F05" w14:textId="77777777" w:rsidR="00A63F3D" w:rsidRPr="00A7075F" w:rsidRDefault="00A63F3D" w:rsidP="00A63F3D">
      <w:pPr>
        <w:autoSpaceDE w:val="0"/>
        <w:autoSpaceDN w:val="0"/>
        <w:adjustRightInd w:val="0"/>
        <w:rPr>
          <w:color w:val="000000" w:themeColor="text1"/>
        </w:rPr>
      </w:pPr>
    </w:p>
    <w:p w14:paraId="40D0BCE1" w14:textId="77777777" w:rsidR="00A63F3D" w:rsidRPr="00CF684B" w:rsidRDefault="00A63F3D" w:rsidP="00A63F3D">
      <w:pPr>
        <w:autoSpaceDE w:val="0"/>
        <w:autoSpaceDN w:val="0"/>
        <w:adjustRightInd w:val="0"/>
      </w:pPr>
      <w:r w:rsidRPr="00CF684B">
        <w:t>Une nouvelle feuille de calcul apparaît automatiquement à chaque ouverture du formulaire de calcul, dont tous les chiffres sont remis à 0.</w:t>
      </w:r>
    </w:p>
    <w:p w14:paraId="22EAEA51" w14:textId="77777777" w:rsidR="00A63F3D" w:rsidRPr="00CF684B" w:rsidRDefault="00A63F3D" w:rsidP="00A63F3D">
      <w:pPr>
        <w:autoSpaceDE w:val="0"/>
        <w:autoSpaceDN w:val="0"/>
        <w:adjustRightInd w:val="0"/>
      </w:pPr>
    </w:p>
    <w:p w14:paraId="292BF274" w14:textId="77777777" w:rsidR="00A63F3D" w:rsidRPr="00CF684B" w:rsidRDefault="00A63F3D" w:rsidP="00A63F3D">
      <w:pPr>
        <w:autoSpaceDE w:val="0"/>
        <w:autoSpaceDN w:val="0"/>
        <w:adjustRightInd w:val="0"/>
      </w:pPr>
      <w:r w:rsidRPr="00CF684B">
        <w:t>Remplir uniquement les champs en bleu (passer de l’un à l’autre au moyen du tabulateur ou cliquer avec la souris). Les champs en jaune comportent des chiffres définis à l’avance ou servant au calcul automatique.</w:t>
      </w:r>
    </w:p>
    <w:p w14:paraId="16011B7E" w14:textId="77777777" w:rsidR="00A63F3D" w:rsidRPr="00CF684B" w:rsidRDefault="00A63F3D" w:rsidP="00A63F3D">
      <w:pPr>
        <w:autoSpaceDE w:val="0"/>
        <w:autoSpaceDN w:val="0"/>
        <w:adjustRightInd w:val="0"/>
      </w:pPr>
    </w:p>
    <w:p w14:paraId="438871F6" w14:textId="77777777" w:rsidR="00A63F3D" w:rsidRPr="00CF684B" w:rsidRDefault="00A63F3D" w:rsidP="00A63F3D">
      <w:pPr>
        <w:autoSpaceDE w:val="0"/>
        <w:autoSpaceDN w:val="0"/>
        <w:adjustRightInd w:val="0"/>
      </w:pPr>
      <w:r w:rsidRPr="00CF684B">
        <w:t>Un coin rouge dans une cellule signale la présence d’un commentaire concernant le champ.</w:t>
      </w:r>
    </w:p>
    <w:p w14:paraId="6488C541" w14:textId="77777777" w:rsidR="00A63F3D" w:rsidRPr="00CF684B" w:rsidRDefault="00A63F3D" w:rsidP="00A63F3D">
      <w:pPr>
        <w:autoSpaceDE w:val="0"/>
        <w:autoSpaceDN w:val="0"/>
        <w:adjustRightInd w:val="0"/>
      </w:pPr>
    </w:p>
    <w:p w14:paraId="6E04351D" w14:textId="77777777" w:rsidR="00A63F3D" w:rsidRPr="00CF684B" w:rsidRDefault="00A63F3D" w:rsidP="00A63F3D">
      <w:pPr>
        <w:autoSpaceDE w:val="0"/>
        <w:autoSpaceDN w:val="0"/>
        <w:adjustRightInd w:val="0"/>
      </w:pPr>
    </w:p>
    <w:p w14:paraId="327685F5" w14:textId="77777777" w:rsidR="00A63F3D" w:rsidRPr="00CF684B" w:rsidRDefault="00A63F3D" w:rsidP="00A63F3D">
      <w:pPr>
        <w:autoSpaceDE w:val="0"/>
        <w:autoSpaceDN w:val="0"/>
        <w:adjustRightInd w:val="0"/>
      </w:pPr>
    </w:p>
    <w:p w14:paraId="07FDDB8D" w14:textId="77777777" w:rsidR="00A63F3D" w:rsidRPr="00CF684B" w:rsidRDefault="00A63F3D" w:rsidP="00A63F3D">
      <w:pPr>
        <w:autoSpaceDE w:val="0"/>
        <w:autoSpaceDN w:val="0"/>
        <w:adjustRightInd w:val="0"/>
      </w:pPr>
      <w:r w:rsidRPr="00CF684B">
        <w:t>DSSI/ Office de l’intégration et de l’action sociale/Aide aux victimes</w:t>
      </w:r>
    </w:p>
    <w:p w14:paraId="30DC7801" w14:textId="77777777" w:rsidR="00A63F3D" w:rsidRPr="00FF0C75" w:rsidRDefault="00A63F3D" w:rsidP="00A63F3D">
      <w:pPr>
        <w:autoSpaceDE w:val="0"/>
        <w:autoSpaceDN w:val="0"/>
        <w:adjustRightInd w:val="0"/>
        <w:rPr>
          <w:lang w:val="de-CH"/>
        </w:rPr>
      </w:pPr>
      <w:r w:rsidRPr="00FF0C75">
        <w:rPr>
          <w:lang w:val="de-CH"/>
        </w:rPr>
        <w:t>Version 6 (jan. 2025)</w:t>
      </w:r>
    </w:p>
    <w:p w14:paraId="14F498A8" w14:textId="77777777" w:rsidR="00A63F3D" w:rsidRPr="00A7075F" w:rsidRDefault="00A63F3D" w:rsidP="00A63F3D">
      <w:pPr>
        <w:pStyle w:val="Titel"/>
        <w:rPr>
          <w:color w:val="000000" w:themeColor="text1"/>
        </w:rPr>
      </w:pPr>
    </w:p>
    <w:p w14:paraId="5ED99000" w14:textId="2C98B3FC" w:rsidR="00F5408D" w:rsidRPr="00A63F3D" w:rsidRDefault="00F5408D" w:rsidP="00A63F3D"/>
    <w:sectPr w:rsidR="00F5408D" w:rsidRPr="00A63F3D" w:rsidSect="00A7075F">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59B1" w14:textId="77777777" w:rsidR="00A7075F" w:rsidRPr="00A7075F" w:rsidRDefault="00A7075F">
      <w:r w:rsidRPr="00A7075F">
        <w:separator/>
      </w:r>
    </w:p>
  </w:endnote>
  <w:endnote w:type="continuationSeparator" w:id="0">
    <w:p w14:paraId="76D78BEC" w14:textId="77777777" w:rsidR="00A7075F" w:rsidRPr="00A7075F" w:rsidRDefault="00A7075F">
      <w:r w:rsidRPr="00A707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2A34" w14:textId="77777777" w:rsidR="00A63F3D" w:rsidRPr="00A7075F" w:rsidRDefault="00A63F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A63F3D" w:rsidRPr="00A7075F" w14:paraId="01E41A11" w14:textId="77777777" w:rsidTr="00A91C91">
      <w:tc>
        <w:tcPr>
          <w:tcW w:w="7938" w:type="dxa"/>
        </w:tcPr>
        <w:p w14:paraId="219A2127" w14:textId="40FE9A65" w:rsidR="00A63F3D" w:rsidRPr="00A7075F" w:rsidRDefault="00A63F3D" w:rsidP="00827488">
          <w:pPr>
            <w:pStyle w:val="Fuzeile"/>
          </w:pPr>
          <w:r w:rsidRPr="00A7075F">
            <w:fldChar w:fldCharType="begin"/>
          </w:r>
          <w:r w:rsidRPr="00A7075F">
            <w:instrText xml:space="preserve"> IF </w:instrText>
          </w:r>
          <w:r>
            <w:fldChar w:fldCharType="begin"/>
          </w:r>
          <w:r>
            <w:instrText xml:space="preserve"> DOCPROPERTY  CustomField.pfad  \* MERGEFORMAT </w:instrText>
          </w:r>
          <w:r>
            <w:fldChar w:fldCharType="separate"/>
          </w:r>
          <w:r w:rsidRPr="00A7075F">
            <w:rPr>
              <w:b/>
              <w:bCs w:val="0"/>
              <w:lang w:val="de-DE"/>
            </w:rPr>
            <w:instrText>Aucune indication</w:instrText>
          </w:r>
          <w:r>
            <w:rPr>
              <w:b/>
              <w:bCs w:val="0"/>
              <w:lang w:val="de-DE"/>
            </w:rPr>
            <w:fldChar w:fldCharType="end"/>
          </w:r>
          <w:r w:rsidRPr="00A7075F">
            <w:instrText>="Nur Dateiname" "</w:instrText>
          </w:r>
          <w:r w:rsidRPr="00A7075F">
            <w:rPr>
              <w:noProof/>
            </w:rPr>
            <w:fldChar w:fldCharType="begin"/>
          </w:r>
          <w:r w:rsidRPr="00A7075F">
            <w:rPr>
              <w:noProof/>
            </w:rPr>
            <w:instrText xml:space="preserve"> FILENAME   \* MERGEFORMAT \&lt;OawJumpToField value=0/&gt;</w:instrText>
          </w:r>
          <w:r w:rsidRPr="00A7075F">
            <w:rPr>
              <w:noProof/>
            </w:rPr>
            <w:fldChar w:fldCharType="separate"/>
          </w:r>
          <w:r w:rsidRPr="00A7075F">
            <w:rPr>
              <w:noProof/>
            </w:rPr>
            <w:instrText>Templ.dot</w:instrText>
          </w:r>
          <w:r w:rsidRPr="00A7075F">
            <w:rPr>
              <w:noProof/>
            </w:rPr>
            <w:fldChar w:fldCharType="end"/>
          </w:r>
          <w:r w:rsidRPr="00A7075F">
            <w:instrText>" "" \* MERGEFORMAT \&lt;OawJumpToField value=0/&gt;</w:instrText>
          </w:r>
          <w:r w:rsidRPr="00A7075F">
            <w:fldChar w:fldCharType="end"/>
          </w:r>
          <w:r w:rsidRPr="00A7075F">
            <w:fldChar w:fldCharType="begin"/>
          </w:r>
          <w:r w:rsidRPr="00A7075F">
            <w:instrText xml:space="preserve"> IF </w:instrText>
          </w:r>
          <w:r>
            <w:fldChar w:fldCharType="begin"/>
          </w:r>
          <w:r>
            <w:instrText xml:space="preserve"> DOCPROPERTY  CustomField.pfad  \* MERGEFORMAT </w:instrText>
          </w:r>
          <w:r>
            <w:fldChar w:fldCharType="separate"/>
          </w:r>
          <w:r w:rsidRPr="00A7075F">
            <w:rPr>
              <w:b/>
              <w:bCs w:val="0"/>
              <w:lang w:val="de-DE"/>
            </w:rPr>
            <w:instrText>Aucune indication</w:instrText>
          </w:r>
          <w:r>
            <w:rPr>
              <w:b/>
              <w:bCs w:val="0"/>
              <w:lang w:val="de-DE"/>
            </w:rPr>
            <w:fldChar w:fldCharType="end"/>
          </w:r>
          <w:r w:rsidRPr="00A7075F">
            <w:instrText>="Pfad und Dateiname" "</w:instrText>
          </w:r>
          <w:r w:rsidRPr="00A7075F">
            <w:rPr>
              <w:noProof/>
            </w:rPr>
            <w:fldChar w:fldCharType="begin"/>
          </w:r>
          <w:r w:rsidRPr="00A7075F">
            <w:rPr>
              <w:noProof/>
            </w:rPr>
            <w:instrText xml:space="preserve"> FILENAME  \p  \* MERGEFORMAT \&lt;OawJumpToField value=0/&gt;</w:instrText>
          </w:r>
          <w:r w:rsidRPr="00A7075F">
            <w:rPr>
              <w:noProof/>
            </w:rPr>
            <w:fldChar w:fldCharType="separate"/>
          </w:r>
          <w:r w:rsidRPr="00A7075F">
            <w:rPr>
              <w:noProof/>
            </w:rPr>
            <w:instrText>Templ.dot</w:instrText>
          </w:r>
          <w:r w:rsidRPr="00A7075F">
            <w:rPr>
              <w:noProof/>
            </w:rPr>
            <w:fldChar w:fldCharType="end"/>
          </w:r>
          <w:r w:rsidRPr="00A7075F">
            <w:instrText>" "" \* MERGEFORMAT \&lt;OawJumpToField value=0/&gt;</w:instrText>
          </w:r>
          <w:r w:rsidRPr="00A7075F">
            <w:fldChar w:fldCharType="end"/>
          </w:r>
          <w:r w:rsidRPr="00A7075F">
            <w:fldChar w:fldCharType="begin"/>
          </w:r>
          <w:r w:rsidRPr="00A7075F">
            <w:instrText xml:space="preserve"> IF </w:instrText>
          </w:r>
          <w:r>
            <w:fldChar w:fldCharType="begin"/>
          </w:r>
          <w:r>
            <w:instrText xml:space="preserve"> DOCPROPERTY  CustomField.pfad  \* MERGEFORMAT </w:instrText>
          </w:r>
          <w:r>
            <w:fldChar w:fldCharType="separate"/>
          </w:r>
          <w:r w:rsidRPr="00A7075F">
            <w:rPr>
              <w:b/>
              <w:bCs w:val="0"/>
              <w:lang w:val="de-DE"/>
            </w:rPr>
            <w:instrText>Aucune indication</w:instrText>
          </w:r>
          <w:r>
            <w:rPr>
              <w:b/>
              <w:bCs w:val="0"/>
              <w:lang w:val="de-DE"/>
            </w:rPr>
            <w:fldChar w:fldCharType="end"/>
          </w:r>
          <w:r w:rsidRPr="00A7075F">
            <w:instrText>="Nom du document" "</w:instrText>
          </w:r>
          <w:r w:rsidRPr="00A7075F">
            <w:rPr>
              <w:noProof/>
            </w:rPr>
            <w:fldChar w:fldCharType="begin"/>
          </w:r>
          <w:r w:rsidRPr="00A7075F">
            <w:rPr>
              <w:noProof/>
            </w:rPr>
            <w:instrText xml:space="preserve"> FILENAME  \* MERGEFORMAT \&lt;OawJumpToField value=0/&gt;</w:instrText>
          </w:r>
          <w:r w:rsidRPr="00A7075F">
            <w:rPr>
              <w:noProof/>
            </w:rPr>
            <w:fldChar w:fldCharType="separate"/>
          </w:r>
          <w:r w:rsidRPr="00A7075F">
            <w:rPr>
              <w:noProof/>
            </w:rPr>
            <w:instrText>Templ.dot</w:instrText>
          </w:r>
          <w:r w:rsidRPr="00A7075F">
            <w:rPr>
              <w:noProof/>
            </w:rPr>
            <w:fldChar w:fldCharType="end"/>
          </w:r>
          <w:r w:rsidRPr="00A7075F">
            <w:instrText>" "" \* MERGEFORMAT \&lt;OawJumpToField value=0/&gt;</w:instrText>
          </w:r>
          <w:r w:rsidRPr="00A7075F">
            <w:fldChar w:fldCharType="end"/>
          </w:r>
          <w:r w:rsidRPr="00A7075F">
            <w:fldChar w:fldCharType="begin"/>
          </w:r>
          <w:r w:rsidRPr="00A7075F">
            <w:instrText xml:space="preserve"> IF </w:instrText>
          </w:r>
          <w:r>
            <w:fldChar w:fldCharType="begin"/>
          </w:r>
          <w:r>
            <w:instrText xml:space="preserve"> DOCPROPERTY  CustomField.pfad  \* MERGEFORMAT </w:instrText>
          </w:r>
          <w:r>
            <w:fldChar w:fldCharType="separate"/>
          </w:r>
          <w:r w:rsidRPr="00A7075F">
            <w:rPr>
              <w:b/>
              <w:bCs w:val="0"/>
              <w:lang w:val="de-DE"/>
            </w:rPr>
            <w:instrText>Aucune indication</w:instrText>
          </w:r>
          <w:r>
            <w:rPr>
              <w:b/>
              <w:bCs w:val="0"/>
              <w:lang w:val="de-DE"/>
            </w:rPr>
            <w:fldChar w:fldCharType="end"/>
          </w:r>
          <w:r w:rsidRPr="00A7075F">
            <w:instrText>="Chemin et nom du document" "</w:instrText>
          </w:r>
          <w:r w:rsidRPr="00A7075F">
            <w:rPr>
              <w:noProof/>
            </w:rPr>
            <w:fldChar w:fldCharType="begin"/>
          </w:r>
          <w:r w:rsidRPr="00A7075F">
            <w:rPr>
              <w:noProof/>
            </w:rPr>
            <w:instrText xml:space="preserve"> FILENAME  \p  \* MERGEFORMAT \&lt;OawJumpToField value=0/&gt;</w:instrText>
          </w:r>
          <w:r w:rsidRPr="00A7075F">
            <w:rPr>
              <w:noProof/>
            </w:rPr>
            <w:fldChar w:fldCharType="separate"/>
          </w:r>
          <w:r w:rsidRPr="00A7075F">
            <w:rPr>
              <w:noProof/>
            </w:rPr>
            <w:instrText>Templ.dot</w:instrText>
          </w:r>
          <w:r w:rsidRPr="00A7075F">
            <w:rPr>
              <w:noProof/>
            </w:rPr>
            <w:fldChar w:fldCharType="end"/>
          </w:r>
          <w:r w:rsidRPr="00A7075F">
            <w:instrText>" "" \* MERGEFORMAT \&lt;OawJumpToField value=0/&gt;</w:instrText>
          </w:r>
          <w:r w:rsidRPr="00A7075F">
            <w:fldChar w:fldCharType="end"/>
          </w:r>
        </w:p>
      </w:tc>
      <w:tc>
        <w:tcPr>
          <w:tcW w:w="2030" w:type="dxa"/>
        </w:tcPr>
        <w:p w14:paraId="30F6A9FD" w14:textId="77777777" w:rsidR="00A63F3D" w:rsidRPr="00A7075F" w:rsidRDefault="00A63F3D" w:rsidP="00827488">
          <w:pPr>
            <w:pStyle w:val="Fuzeile"/>
            <w:jc w:val="right"/>
          </w:pPr>
          <w:r w:rsidRPr="00A7075F">
            <w:fldChar w:fldCharType="begin"/>
          </w:r>
          <w:r w:rsidRPr="00A7075F">
            <w:instrText xml:space="preserve"> PAGE  \* Arabic  \* MERGEFORMAT </w:instrText>
          </w:r>
          <w:r w:rsidRPr="00A7075F">
            <w:fldChar w:fldCharType="separate"/>
          </w:r>
          <w:r w:rsidRPr="00A7075F">
            <w:rPr>
              <w:noProof/>
            </w:rPr>
            <w:t>1</w:t>
          </w:r>
          <w:r w:rsidRPr="00A7075F">
            <w:fldChar w:fldCharType="end"/>
          </w:r>
          <w:r w:rsidRPr="00A7075F">
            <w:t>/</w:t>
          </w:r>
          <w:r>
            <w:fldChar w:fldCharType="begin"/>
          </w:r>
          <w:r>
            <w:instrText xml:space="preserve"> NUMPAGES  \* Arabic  \* MERGEFORMAT </w:instrText>
          </w:r>
          <w:r>
            <w:fldChar w:fldCharType="separate"/>
          </w:r>
          <w:r w:rsidRPr="00A7075F">
            <w:rPr>
              <w:noProof/>
            </w:rPr>
            <w:t>1</w:t>
          </w:r>
          <w:r>
            <w:rPr>
              <w:noProof/>
            </w:rPr>
            <w:fldChar w:fldCharType="end"/>
          </w:r>
        </w:p>
      </w:tc>
    </w:tr>
  </w:tbl>
  <w:p w14:paraId="26C8B8C6" w14:textId="77777777" w:rsidR="00A63F3D" w:rsidRPr="00A7075F" w:rsidRDefault="00A63F3D"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A63F3D" w:rsidRPr="00A7075F" w14:paraId="0868F6CA" w14:textId="77777777" w:rsidTr="00A91C91">
      <w:tc>
        <w:tcPr>
          <w:tcW w:w="7938" w:type="dxa"/>
        </w:tcPr>
        <w:p w14:paraId="6E2B5165" w14:textId="77777777" w:rsidR="00A63F3D" w:rsidRPr="00A7075F" w:rsidRDefault="00A63F3D" w:rsidP="005D79DB">
          <w:pPr>
            <w:pStyle w:val="Fuzeile"/>
          </w:pPr>
          <w:r w:rsidRPr="00A7075F">
            <w:fldChar w:fldCharType="begin"/>
          </w:r>
          <w:r w:rsidRPr="00A7075F">
            <w:instrText xml:space="preserve"> IF </w:instrText>
          </w:r>
          <w:r>
            <w:fldChar w:fldCharType="begin"/>
          </w:r>
          <w:r>
            <w:instrText xml:space="preserve"> DOCPROPERTY  CustomField.pfad  \* MERGEFORMAT </w:instrText>
          </w:r>
          <w:r>
            <w:fldChar w:fldCharType="separate"/>
          </w:r>
          <w:r w:rsidRPr="00A7075F">
            <w:rPr>
              <w:b/>
              <w:bCs w:val="0"/>
              <w:lang w:val="de-DE"/>
            </w:rPr>
            <w:instrText>Aucune indication</w:instrText>
          </w:r>
          <w:r>
            <w:rPr>
              <w:b/>
              <w:bCs w:val="0"/>
              <w:lang w:val="de-DE"/>
            </w:rPr>
            <w:fldChar w:fldCharType="end"/>
          </w:r>
          <w:r w:rsidRPr="00A7075F">
            <w:instrText>="Nur Dateiname" "</w:instrText>
          </w:r>
          <w:r w:rsidRPr="00A7075F">
            <w:rPr>
              <w:noProof/>
            </w:rPr>
            <w:fldChar w:fldCharType="begin"/>
          </w:r>
          <w:r w:rsidRPr="00A7075F">
            <w:rPr>
              <w:noProof/>
            </w:rPr>
            <w:instrText xml:space="preserve"> FILENAME   \* MERGEFORMAT \&lt;OawJumpToField value=0/&gt;</w:instrText>
          </w:r>
          <w:r w:rsidRPr="00A7075F">
            <w:rPr>
              <w:noProof/>
            </w:rPr>
            <w:fldChar w:fldCharType="separate"/>
          </w:r>
          <w:r w:rsidRPr="00A7075F">
            <w:rPr>
              <w:noProof/>
            </w:rPr>
            <w:instrText>Templ.dot</w:instrText>
          </w:r>
          <w:r w:rsidRPr="00A7075F">
            <w:rPr>
              <w:noProof/>
            </w:rPr>
            <w:fldChar w:fldCharType="end"/>
          </w:r>
          <w:r w:rsidRPr="00A7075F">
            <w:instrText>" "" \* MERGEFORMAT \&lt;OawJumpToField value=0/&gt;</w:instrText>
          </w:r>
          <w:r w:rsidRPr="00A7075F">
            <w:fldChar w:fldCharType="end"/>
          </w:r>
          <w:r w:rsidRPr="00A7075F">
            <w:fldChar w:fldCharType="begin"/>
          </w:r>
          <w:r w:rsidRPr="00A7075F">
            <w:instrText xml:space="preserve"> IF </w:instrText>
          </w:r>
          <w:r>
            <w:fldChar w:fldCharType="begin"/>
          </w:r>
          <w:r>
            <w:instrText xml:space="preserve"> DOCPROPERTY  CustomField.pfad  \* MERGEFORMAT </w:instrText>
          </w:r>
          <w:r>
            <w:fldChar w:fldCharType="separate"/>
          </w:r>
          <w:r w:rsidRPr="00A7075F">
            <w:rPr>
              <w:b/>
              <w:bCs w:val="0"/>
              <w:lang w:val="de-DE"/>
            </w:rPr>
            <w:instrText>Aucune indication</w:instrText>
          </w:r>
          <w:r>
            <w:rPr>
              <w:b/>
              <w:bCs w:val="0"/>
              <w:lang w:val="de-DE"/>
            </w:rPr>
            <w:fldChar w:fldCharType="end"/>
          </w:r>
          <w:r w:rsidRPr="00A7075F">
            <w:instrText>="Pfad und Dateiname" "</w:instrText>
          </w:r>
          <w:r w:rsidRPr="00A7075F">
            <w:rPr>
              <w:noProof/>
            </w:rPr>
            <w:fldChar w:fldCharType="begin"/>
          </w:r>
          <w:r w:rsidRPr="00A7075F">
            <w:rPr>
              <w:noProof/>
            </w:rPr>
            <w:instrText xml:space="preserve"> FILENAME  \p  \* MERGEFORMAT \&lt;OawJumpToField value=0/&gt;</w:instrText>
          </w:r>
          <w:r w:rsidRPr="00A7075F">
            <w:rPr>
              <w:noProof/>
            </w:rPr>
            <w:fldChar w:fldCharType="separate"/>
          </w:r>
          <w:r w:rsidRPr="00A7075F">
            <w:rPr>
              <w:noProof/>
            </w:rPr>
            <w:instrText>Templ.dot</w:instrText>
          </w:r>
          <w:r w:rsidRPr="00A7075F">
            <w:rPr>
              <w:noProof/>
            </w:rPr>
            <w:fldChar w:fldCharType="end"/>
          </w:r>
          <w:r w:rsidRPr="00A7075F">
            <w:instrText>" "" \* MERGEFORMAT \&lt;OawJumpToField value=0/&gt;</w:instrText>
          </w:r>
          <w:r w:rsidRPr="00A7075F">
            <w:fldChar w:fldCharType="end"/>
          </w:r>
          <w:r w:rsidRPr="00A7075F">
            <w:fldChar w:fldCharType="begin"/>
          </w:r>
          <w:r w:rsidRPr="00A7075F">
            <w:instrText xml:space="preserve"> IF </w:instrText>
          </w:r>
          <w:r>
            <w:fldChar w:fldCharType="begin"/>
          </w:r>
          <w:r>
            <w:instrText xml:space="preserve"> DOCPROPERTY  CustomField.pfad  \* MERGEFORMAT </w:instrText>
          </w:r>
          <w:r>
            <w:fldChar w:fldCharType="separate"/>
          </w:r>
          <w:r w:rsidRPr="00A7075F">
            <w:rPr>
              <w:b/>
              <w:bCs w:val="0"/>
              <w:lang w:val="de-DE"/>
            </w:rPr>
            <w:instrText>Aucune indication</w:instrText>
          </w:r>
          <w:r>
            <w:rPr>
              <w:b/>
              <w:bCs w:val="0"/>
              <w:lang w:val="de-DE"/>
            </w:rPr>
            <w:fldChar w:fldCharType="end"/>
          </w:r>
          <w:r w:rsidRPr="00A7075F">
            <w:instrText>="Nom du document" "</w:instrText>
          </w:r>
          <w:r w:rsidRPr="00A7075F">
            <w:rPr>
              <w:noProof/>
            </w:rPr>
            <w:fldChar w:fldCharType="begin"/>
          </w:r>
          <w:r w:rsidRPr="00A7075F">
            <w:rPr>
              <w:noProof/>
            </w:rPr>
            <w:instrText xml:space="preserve"> FILENAME  \* MERGEFORMAT \&lt;OawJumpToField value=0/&gt;</w:instrText>
          </w:r>
          <w:r w:rsidRPr="00A7075F">
            <w:rPr>
              <w:noProof/>
            </w:rPr>
            <w:fldChar w:fldCharType="separate"/>
          </w:r>
          <w:r w:rsidRPr="00A7075F">
            <w:rPr>
              <w:noProof/>
            </w:rPr>
            <w:instrText>Templ.dot</w:instrText>
          </w:r>
          <w:r w:rsidRPr="00A7075F">
            <w:rPr>
              <w:noProof/>
            </w:rPr>
            <w:fldChar w:fldCharType="end"/>
          </w:r>
          <w:r w:rsidRPr="00A7075F">
            <w:instrText>" "" \* MERGEFORMAT \&lt;OawJumpToField value=0/&gt;</w:instrText>
          </w:r>
          <w:r w:rsidRPr="00A7075F">
            <w:fldChar w:fldCharType="end"/>
          </w:r>
          <w:r w:rsidRPr="00A7075F">
            <w:fldChar w:fldCharType="begin"/>
          </w:r>
          <w:r w:rsidRPr="00A7075F">
            <w:instrText xml:space="preserve"> IF </w:instrText>
          </w:r>
          <w:r>
            <w:fldChar w:fldCharType="begin"/>
          </w:r>
          <w:r>
            <w:instrText xml:space="preserve"> DOCPROPERTY  CustomField.pfad  \* MERGEFORMAT </w:instrText>
          </w:r>
          <w:r>
            <w:fldChar w:fldCharType="separate"/>
          </w:r>
          <w:r w:rsidRPr="00A7075F">
            <w:rPr>
              <w:b/>
              <w:bCs w:val="0"/>
              <w:lang w:val="de-DE"/>
            </w:rPr>
            <w:instrText>Aucune indication</w:instrText>
          </w:r>
          <w:r>
            <w:rPr>
              <w:b/>
              <w:bCs w:val="0"/>
              <w:lang w:val="de-DE"/>
            </w:rPr>
            <w:fldChar w:fldCharType="end"/>
          </w:r>
          <w:r w:rsidRPr="00A7075F">
            <w:instrText>="Chemin et nom du document" "</w:instrText>
          </w:r>
          <w:r w:rsidRPr="00A7075F">
            <w:rPr>
              <w:noProof/>
            </w:rPr>
            <w:fldChar w:fldCharType="begin"/>
          </w:r>
          <w:r w:rsidRPr="00A7075F">
            <w:rPr>
              <w:noProof/>
            </w:rPr>
            <w:instrText xml:space="preserve"> FILENAME  \p  \* MERGEFORMAT \&lt;OawJumpToField value=0/&gt;</w:instrText>
          </w:r>
          <w:r w:rsidRPr="00A7075F">
            <w:rPr>
              <w:noProof/>
            </w:rPr>
            <w:fldChar w:fldCharType="separate"/>
          </w:r>
          <w:r w:rsidRPr="00A7075F">
            <w:rPr>
              <w:noProof/>
            </w:rPr>
            <w:instrText>Templ.dot</w:instrText>
          </w:r>
          <w:r w:rsidRPr="00A7075F">
            <w:rPr>
              <w:noProof/>
            </w:rPr>
            <w:fldChar w:fldCharType="end"/>
          </w:r>
          <w:r w:rsidRPr="00A7075F">
            <w:instrText>" "" \* MERGEFORMAT \&lt;OawJumpToField value=0/&gt;</w:instrText>
          </w:r>
          <w:r w:rsidRPr="00A7075F">
            <w:fldChar w:fldCharType="end"/>
          </w:r>
        </w:p>
      </w:tc>
      <w:tc>
        <w:tcPr>
          <w:tcW w:w="2030" w:type="dxa"/>
        </w:tcPr>
        <w:p w14:paraId="0EDE7CDE" w14:textId="77777777" w:rsidR="00A63F3D" w:rsidRPr="00A7075F" w:rsidRDefault="00A63F3D" w:rsidP="005D79DB">
          <w:pPr>
            <w:pStyle w:val="Fuzeile"/>
            <w:jc w:val="right"/>
          </w:pPr>
          <w:r w:rsidRPr="00A7075F">
            <w:fldChar w:fldCharType="begin"/>
          </w:r>
          <w:r w:rsidRPr="00A7075F">
            <w:instrText xml:space="preserve"> PAGE  \* Arabic  \* MERGEFORMAT </w:instrText>
          </w:r>
          <w:r w:rsidRPr="00A7075F">
            <w:fldChar w:fldCharType="separate"/>
          </w:r>
          <w:r w:rsidRPr="00A7075F">
            <w:rPr>
              <w:noProof/>
            </w:rPr>
            <w:t>1</w:t>
          </w:r>
          <w:r w:rsidRPr="00A7075F">
            <w:fldChar w:fldCharType="end"/>
          </w:r>
          <w:r w:rsidRPr="00A7075F">
            <w:t>/</w:t>
          </w:r>
          <w:r>
            <w:fldChar w:fldCharType="begin"/>
          </w:r>
          <w:r>
            <w:instrText xml:space="preserve"> NUMPAGES  \* Arabic  \* MERGEFORMAT </w:instrText>
          </w:r>
          <w:r>
            <w:fldChar w:fldCharType="separate"/>
          </w:r>
          <w:r w:rsidRPr="00A7075F">
            <w:rPr>
              <w:noProof/>
            </w:rPr>
            <w:t>1</w:t>
          </w:r>
          <w:r>
            <w:rPr>
              <w:noProof/>
            </w:rPr>
            <w:fldChar w:fldCharType="end"/>
          </w:r>
        </w:p>
      </w:tc>
    </w:tr>
  </w:tbl>
  <w:p w14:paraId="3DD06851" w14:textId="77777777" w:rsidR="00A63F3D" w:rsidRPr="00A7075F" w:rsidRDefault="00A63F3D"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28B7" w14:textId="77777777" w:rsidR="00A7075F" w:rsidRPr="00A7075F" w:rsidRDefault="00A7075F">
      <w:r w:rsidRPr="00A7075F">
        <w:separator/>
      </w:r>
    </w:p>
  </w:footnote>
  <w:footnote w:type="continuationSeparator" w:id="0">
    <w:p w14:paraId="56C7ED52" w14:textId="77777777" w:rsidR="00A7075F" w:rsidRPr="00A7075F" w:rsidRDefault="00A7075F">
      <w:r w:rsidRPr="00A7075F">
        <w:continuationSeparator/>
      </w:r>
    </w:p>
  </w:footnote>
  <w:footnote w:id="1">
    <w:p w14:paraId="069113CA" w14:textId="77777777" w:rsidR="00A63F3D" w:rsidRPr="009E11CF" w:rsidRDefault="00A63F3D" w:rsidP="00A63F3D">
      <w:pPr>
        <w:pStyle w:val="Funotentext"/>
        <w:ind w:left="567" w:hanging="567"/>
      </w:pPr>
      <w:r w:rsidRPr="003231AB">
        <w:rPr>
          <w:rStyle w:val="Funotenzeichen"/>
        </w:rPr>
        <w:footnoteRef/>
      </w:r>
      <w:r w:rsidRPr="009E11CF">
        <w:t xml:space="preserve"> </w:t>
      </w:r>
      <w:r w:rsidRPr="003231AB">
        <w:rPr>
          <w:lang w:val="fr-FR"/>
        </w:rPr>
        <w:t>Loi fédérale du 23 mars 2007</w:t>
      </w:r>
      <w:r>
        <w:rPr>
          <w:lang w:val="fr-FR"/>
        </w:rPr>
        <w:t xml:space="preserve"> </w:t>
      </w:r>
      <w:r w:rsidRPr="003231AB">
        <w:rPr>
          <w:lang w:val="fr-FR"/>
        </w:rPr>
        <w:t xml:space="preserve">sur l’aide aux victimes d’infractions (Loi sur l’aide aux victimes, LAVI ; RS </w:t>
      </w:r>
      <w:r w:rsidRPr="009E11CF">
        <w:t>312.5)</w:t>
      </w:r>
    </w:p>
  </w:footnote>
  <w:footnote w:id="2">
    <w:p w14:paraId="06B0ED0D" w14:textId="77777777" w:rsidR="00A63F3D" w:rsidRPr="009E11CF" w:rsidRDefault="00A63F3D" w:rsidP="00A63F3D">
      <w:pPr>
        <w:pStyle w:val="Funotentext"/>
      </w:pPr>
      <w:r w:rsidRPr="003231AB">
        <w:rPr>
          <w:rStyle w:val="Funotenzeichen"/>
        </w:rPr>
        <w:footnoteRef/>
      </w:r>
      <w:r w:rsidRPr="009E11CF">
        <w:t xml:space="preserve"> Ordonnance du 27 février 2008 </w:t>
      </w:r>
      <w:r w:rsidRPr="003231AB">
        <w:rPr>
          <w:lang w:val="fr-FR"/>
        </w:rPr>
        <w:t xml:space="preserve">sur l’aide aux victimes d’infractions </w:t>
      </w:r>
      <w:r w:rsidRPr="009E11CF">
        <w:t>(Ordonnance sur l’aide aux victimes, OAVI ; RS 312.51)</w:t>
      </w:r>
    </w:p>
  </w:footnote>
  <w:footnote w:id="3">
    <w:p w14:paraId="4C82B5D5" w14:textId="77777777" w:rsidR="00A63F3D" w:rsidRPr="009E11CF" w:rsidRDefault="00A63F3D" w:rsidP="00A63F3D">
      <w:pPr>
        <w:pStyle w:val="Funotentext"/>
      </w:pPr>
      <w:r>
        <w:rPr>
          <w:rStyle w:val="Funotenzeichen"/>
        </w:rPr>
        <w:footnoteRef/>
      </w:r>
      <w:r w:rsidRPr="009E11CF">
        <w:t xml:space="preserve"> </w:t>
      </w:r>
      <w:r w:rsidRPr="003231AB">
        <w:rPr>
          <w:lang w:val="fr-FR"/>
        </w:rPr>
        <w:t xml:space="preserve">Loi fédérale du </w:t>
      </w:r>
      <w:r w:rsidRPr="009E11CF">
        <w:t xml:space="preserve">4 octobre 1991 </w:t>
      </w:r>
      <w:r w:rsidRPr="003231AB">
        <w:rPr>
          <w:lang w:val="fr-FR"/>
        </w:rPr>
        <w:t xml:space="preserve">sur l’aide aux victimes d’infractions </w:t>
      </w:r>
      <w:r w:rsidRPr="009E11CF">
        <w:t>(</w:t>
      </w:r>
      <w:proofErr w:type="spellStart"/>
      <w:r w:rsidRPr="009E11CF">
        <w:t>aLAVI</w:t>
      </w:r>
      <w:proofErr w:type="spellEnd"/>
      <w:r w:rsidRPr="009E11CF">
        <w:t>)</w:t>
      </w:r>
    </w:p>
  </w:footnote>
  <w:footnote w:id="4">
    <w:p w14:paraId="4D86895D" w14:textId="77777777" w:rsidR="00A63F3D" w:rsidRPr="009E11CF" w:rsidRDefault="00A63F3D" w:rsidP="00A63F3D">
      <w:pPr>
        <w:pStyle w:val="Funotentext"/>
      </w:pPr>
      <w:r>
        <w:rPr>
          <w:rStyle w:val="Funotenzeichen"/>
        </w:rPr>
        <w:footnoteRef/>
      </w:r>
      <w:r w:rsidRPr="00F92352">
        <w:rPr>
          <w:lang w:val="fr-FR"/>
        </w:rPr>
        <w:t xml:space="preserve"> Loi fédérale du 6 octobre 2006 sur les prestations complémentaires à l’AVS et à l’AI (Loi sur les prestations complémentaires</w:t>
      </w:r>
      <w:r>
        <w:rPr>
          <w:lang w:val="fr-FR"/>
        </w:rPr>
        <w:t>,</w:t>
      </w:r>
      <w:r w:rsidRPr="00F92352">
        <w:rPr>
          <w:lang w:val="fr-FR"/>
        </w:rPr>
        <w:t xml:space="preserve"> LPC</w:t>
      </w:r>
      <w:r>
        <w:rPr>
          <w:lang w:val="fr-FR"/>
        </w:rPr>
        <w:t> </w:t>
      </w:r>
      <w:r w:rsidRPr="009E11CF">
        <w:t>; RS 831.30)</w:t>
      </w:r>
    </w:p>
  </w:footnote>
  <w:footnote w:id="5">
    <w:p w14:paraId="3D509E96" w14:textId="77777777" w:rsidR="00A63F3D" w:rsidRPr="009E11CF" w:rsidRDefault="00A63F3D" w:rsidP="00A63F3D">
      <w:pPr>
        <w:pStyle w:val="Funotentext"/>
      </w:pPr>
      <w:r>
        <w:rPr>
          <w:rStyle w:val="Funotenzeichen"/>
        </w:rPr>
        <w:footnoteRef/>
      </w:r>
      <w:r w:rsidRPr="009E11CF">
        <w:t xml:space="preserve"> Voir </w:t>
      </w:r>
      <w:r>
        <w:rPr>
          <w:lang w:val="fr-FR"/>
        </w:rPr>
        <w:t>Office fédéral de la justice :</w:t>
      </w:r>
      <w:r w:rsidRPr="008D6B8B">
        <w:t xml:space="preserve"> Explications relatives au projet d’ordonnance sur l’aide aux victimes d’infractions</w:t>
      </w:r>
      <w:r>
        <w:rPr>
          <w:lang w:val="fr-FR"/>
        </w:rPr>
        <w:t xml:space="preserve">, </w:t>
      </w:r>
      <w:r w:rsidRPr="009E11CF">
        <w:t>explication détaillée de l’art.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A640" w14:textId="77777777" w:rsidR="00A63F3D" w:rsidRPr="00A7075F" w:rsidRDefault="00A63F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BFEA" w14:textId="77777777" w:rsidR="00A63F3D" w:rsidRPr="00A7075F" w:rsidRDefault="00A63F3D" w:rsidP="00FF6652">
    <w:pPr>
      <w:pStyle w:val="Kopfzeile"/>
      <w:tabs>
        <w:tab w:val="left" w:pos="420"/>
      </w:tabs>
    </w:pPr>
    <w:r w:rsidRPr="00A7075F">
      <w:drawing>
        <wp:anchor distT="0" distB="0" distL="114300" distR="114300" simplePos="0" relativeHeight="251668480" behindDoc="0" locked="1" layoutInCell="1" allowOverlap="1" wp14:anchorId="26C38C22" wp14:editId="36E3CD4B">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B69D" w14:textId="77777777" w:rsidR="00A63F3D" w:rsidRPr="00A7075F" w:rsidRDefault="00A63F3D">
    <w:pPr>
      <w:pStyle w:val="Kopfzeile"/>
    </w:pPr>
    <w:r w:rsidRPr="00A7075F">
      <w:drawing>
        <wp:anchor distT="0" distB="0" distL="114300" distR="114300" simplePos="0" relativeHeight="251667456" behindDoc="0" locked="1" layoutInCell="1" allowOverlap="1" wp14:anchorId="5C478106" wp14:editId="3E2DA7A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A7075F">
      <w:drawing>
        <wp:anchor distT="0" distB="0" distL="114300" distR="114300" simplePos="0" relativeHeight="251666432" behindDoc="1" locked="1" layoutInCell="1" allowOverlap="1" wp14:anchorId="7885C81F" wp14:editId="3F5B4346">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11E71408" w14:textId="77777777" w:rsidTr="00685499">
      <w:tc>
        <w:tcPr>
          <w:tcW w:w="5100" w:type="dxa"/>
        </w:tcPr>
        <w:p w14:paraId="345CDC97" w14:textId="77777777" w:rsidR="00B836B9" w:rsidRPr="00123AA1" w:rsidRDefault="00B836B9" w:rsidP="00FF6652">
          <w:pPr>
            <w:pStyle w:val="Kopfzeile"/>
            <w:rPr>
              <w:color w:val="FFFFFF" w:themeColor="background1"/>
            </w:rPr>
          </w:pPr>
        </w:p>
        <w:p w14:paraId="698756A8" w14:textId="77777777" w:rsidR="00B836B9" w:rsidRPr="00123AA1" w:rsidRDefault="00B836B9" w:rsidP="00FF6652">
          <w:pPr>
            <w:pStyle w:val="Kopfzeile"/>
          </w:pPr>
        </w:p>
      </w:tc>
      <w:tc>
        <w:tcPr>
          <w:tcW w:w="4878" w:type="dxa"/>
        </w:tcPr>
        <w:p w14:paraId="08146804" w14:textId="77777777" w:rsidR="00B836B9" w:rsidRPr="00123AA1" w:rsidRDefault="00B836B9" w:rsidP="00FF6652">
          <w:pPr>
            <w:pStyle w:val="Kopfzeile"/>
          </w:pPr>
        </w:p>
      </w:tc>
    </w:tr>
  </w:tbl>
  <w:p w14:paraId="68F841AF" w14:textId="77777777"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7CDD4B2C" wp14:editId="5099E44C">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BE65648"/>
    <w:multiLevelType w:val="hybridMultilevel"/>
    <w:tmpl w:val="E6D03F8A"/>
    <w:lvl w:ilvl="0" w:tplc="0807000F">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1B56486"/>
    <w:multiLevelType w:val="hybridMultilevel"/>
    <w:tmpl w:val="E41A78F8"/>
    <w:lvl w:ilvl="0" w:tplc="5D201DD6">
      <w:start w:val="1"/>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92414756">
    <w:abstractNumId w:val="9"/>
  </w:num>
  <w:num w:numId="2" w16cid:durableId="100884757">
    <w:abstractNumId w:val="7"/>
  </w:num>
  <w:num w:numId="3" w16cid:durableId="605696772">
    <w:abstractNumId w:val="6"/>
  </w:num>
  <w:num w:numId="4" w16cid:durableId="1122573362">
    <w:abstractNumId w:val="5"/>
  </w:num>
  <w:num w:numId="5" w16cid:durableId="1884756399">
    <w:abstractNumId w:val="4"/>
  </w:num>
  <w:num w:numId="6" w16cid:durableId="149906035">
    <w:abstractNumId w:val="8"/>
  </w:num>
  <w:num w:numId="7" w16cid:durableId="685403166">
    <w:abstractNumId w:val="3"/>
  </w:num>
  <w:num w:numId="8" w16cid:durableId="1198815020">
    <w:abstractNumId w:val="2"/>
  </w:num>
  <w:num w:numId="9" w16cid:durableId="297498434">
    <w:abstractNumId w:val="1"/>
  </w:num>
  <w:num w:numId="10" w16cid:durableId="776173095">
    <w:abstractNumId w:val="0"/>
  </w:num>
  <w:num w:numId="11" w16cid:durableId="1141385844">
    <w:abstractNumId w:val="23"/>
  </w:num>
  <w:num w:numId="12" w16cid:durableId="32313935">
    <w:abstractNumId w:val="18"/>
  </w:num>
  <w:num w:numId="13" w16cid:durableId="693502791">
    <w:abstractNumId w:val="14"/>
  </w:num>
  <w:num w:numId="14" w16cid:durableId="1720546255">
    <w:abstractNumId w:val="25"/>
  </w:num>
  <w:num w:numId="15" w16cid:durableId="432214221">
    <w:abstractNumId w:val="24"/>
  </w:num>
  <w:num w:numId="16" w16cid:durableId="941762741">
    <w:abstractNumId w:val="10"/>
  </w:num>
  <w:num w:numId="17" w16cid:durableId="1934314160">
    <w:abstractNumId w:val="15"/>
  </w:num>
  <w:num w:numId="18" w16cid:durableId="19439521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7256798">
    <w:abstractNumId w:val="22"/>
  </w:num>
  <w:num w:numId="20" w16cid:durableId="630090283">
    <w:abstractNumId w:val="13"/>
  </w:num>
  <w:num w:numId="21" w16cid:durableId="517818398">
    <w:abstractNumId w:val="20"/>
  </w:num>
  <w:num w:numId="22" w16cid:durableId="89935954">
    <w:abstractNumId w:val="19"/>
  </w:num>
  <w:num w:numId="23" w16cid:durableId="1430783118">
    <w:abstractNumId w:val="11"/>
  </w:num>
  <w:num w:numId="24" w16cid:durableId="881592805">
    <w:abstractNumId w:val="16"/>
  </w:num>
  <w:num w:numId="25" w16cid:durableId="321272671">
    <w:abstractNumId w:val="21"/>
  </w:num>
  <w:num w:numId="26" w16cid:durableId="1672484426">
    <w:abstractNumId w:val="17"/>
  </w:num>
  <w:num w:numId="27" w16cid:durableId="1049308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AttachedTemplate" w:val="Deckblatt_Direktionssitzung_AIS.ows"/>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gefbech"/>
    <w:docVar w:name="OawCreatedWithProjectVersion" w:val="105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quot; PrimaryUID=&quot;ClientSuite&quot;&gt;&lt;Field Name=&quot;IDName&quot; Value=&quot;&quot;/&gt;&lt;Field Name=&quot;CompanyDe_1&quot; Value=&quot;&quot;/&gt;&lt;Field Name=&quot;CompanyDe_2&quot; Value=&quot;&quot;/&gt;&lt;Field Name=&quot;CompanyDe_3&quot; Value=&quot;&quot;/&gt;&lt;Field Name=&quot;CompanyDe_4&quot; Value=&quot;&quot;/&gt;&lt;Field Name=&quot;CompanyFr_1&quot; Value=&quot;&quot;/&gt;&lt;Field Name=&quot;CompanyFr_2&quot; Value=&quot;&quot;/&gt;&lt;Field Name=&quot;CompanyFr_3&quot; Value=&quot;&quot;/&gt;&lt;Field Name=&quot;CompanyFr_4&quot; Value=&quot;&quot;/&gt;&lt;Field Name=&quot;DepartmentDe_1&quot; Value=&quot;&quot;/&gt;&lt;Field Name=&quot;DepartmentDe_2&quot; Value=&quot;&quot;/&gt;&lt;Field Name=&quot;DepartmentDe_3&quot; Value=&quot;&quot;/&gt;&lt;Field Name=&quot;DepartmentDe_4&quot; Value=&quot;&quot;/&gt;&lt;Field Name=&quot;DepartmentFr_1&quot; Value=&quot;&quot;/&gt;&lt;Field Name=&quot;DepartmentFr_2&quot; Value=&quot;&quot;/&gt;&lt;Field Name=&quot;DepartmentFr_3&quot; Value=&quot;&quot;/&gt;&lt;Field Name=&quot;DepartmentFr_4&quot; Value=&quot;&quot;/&gt;&lt;Field Name=&quot;DepartmentFR_PP&quot; Value=&quot;&quot;/&gt;&lt;Field Name=&quot;Address1&quot; Value=&quot;&quot;/&gt;&lt;Field Name=&quot;Address2&quot; Value=&quot;&quot;/&gt;&lt;Field Name=&quot;Address3&quot; Value=&quot;&quot;/&gt;&lt;Field Name=&quot;OrtDatum&quot; Value=&quot;&quot;/&gt;&lt;Field Name=&quot;Telefon&quot; Value=&quot;&quot;/&gt;&lt;Field Name=&quot;Fax&quot; Value=&quot;&quot;/&gt;&lt;Field Name=&quot;Email&quot; Value=&quot;&quot;/&gt;&lt;Field Name=&quot;Internet&quot; Value=&quot;&quot;/&gt;&lt;Field Name=&quot;Internet_FR&quot; Value=&quot;&quot;/&gt;&lt;Field Name=&quot;City&quot; Value=&quot;&quot;/&gt;&lt;Field Name=&quot;Country&quot; Value=&quot;&quot;/&gt;&lt;Field Name=&quot;LogoColor&quot; Value=&quot;&quot;/&gt;&lt;Field Name=&quot;LogoBlackWhite&quot; Value=&quot;&quot;/&gt;&lt;Field Name=&quot;Ruecksendeadresse_DE&quot; Value=&quot;&quot;/&gt;&lt;Field Name=&quot;Ruecksendeadresse_FR&quot; Value=&quot;&quot;/&gt;&lt;Field Name=&quot;PpThemesDefault&quot; Value=&quot;&quot;/&gt;&lt;Field Name=&quot;PpThemesPresentation&quot; Value=&quot;&quot;/&gt;&lt;Field Name=&quot;PpThemesSlide&quot; Value=&quot;&quot;/&gt;&lt;Field Name=&quot;PpThemesObject&quot; Value=&quot;&quot;/&gt;&lt;/DocProp&gt;&lt;DocProp UID=&quot;2006040509495284662868&quot; EntryUID=&quot;&quot; PrimaryUID=&quot;ClientSuite&quot;&gt;&lt;Field Name=&quot;IDName&quot; Value=&quot;&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quot; PrimaryUID=&quot;ClientSuite&quot;&gt;&lt;Field Name=&quot;IDName&quot; Value=&quot;&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quot; PrimaryUID=&quot;ClientSuite&quot;&gt;&lt;Field Name=&quot;IDName&quot; Value=&quot;&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80714212273705547&quot; EntryUID=&quot;&quot; UserInformation=&quot;Data from SAP&quot; Interface=&quot;-1&quot;&gt;&lt;Field Name=&quot;UID&quot; Value=&quot;201911070822464934565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02122010583847234010578&quot; EntryUID=&quot;&quot; PrimaryUID=&quot;ClientSuite&quot;&gt;&lt;Field Name=&quot;IDName&quot; Value=&quot;&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quot; PrimaryUID=&quot;ClientSuite&quot;&gt;&lt;Field Name=&quot;IDName&quot; Value=&quot;&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 PrimaryUID=&quot;ClientSuite&quot; Active=&quot;true&quot;&gt;&lt;Field UID=&quot;2011103201300799999999&quot; Name=&quot;pfad&quot; Value=&quot;Aucune indication&quot;/&gt;&lt;/DocProp&gt;&lt;/Profile&gt;_x000d_"/>
    <w:docVar w:name="OawDocumentLanguageID" w:val="4108"/>
    <w:docVar w:name="OawDocumentPageSelectIDName" w:val="&lt;empty/&g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 PrimaryUID=&quot;ClientSuite&quo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A7075F"/>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4E82"/>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3F3D"/>
    <w:rsid w:val="00A64124"/>
    <w:rsid w:val="00A6503D"/>
    <w:rsid w:val="00A66278"/>
    <w:rsid w:val="00A706E0"/>
    <w:rsid w:val="00A7075F"/>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37D27"/>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0C75"/>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5142C"/>
  <w15:docId w15:val="{D9791BF8-EF63-4621-9080-0C05A6D6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F3D"/>
    <w:pPr>
      <w:spacing w:after="0" w:line="270" w:lineRule="atLeast"/>
    </w:pPr>
    <w:rPr>
      <w:rFonts w:cs="System"/>
      <w:bCs/>
      <w:spacing w:val="2"/>
      <w:sz w:val="21"/>
      <w:lang w:val="fr-CH"/>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AddressBlock>   
   </AddressBlock>
</officeatwork>
</file>

<file path=customXml/item2.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fficeatwork xmlns="http://schemas.officeatwork.com/Document">eNp7v3u/jUt+cmlual6JnU1wfk5pSWZ+nmeKnY0+MscnMS+9NDE91c7E0MDCRh/OtQnLTC0HqoVQAUCh4NSc1GSgUfooHLgVAFPAKLA=</officeatwork>
</file>

<file path=customXml/item5.xml><?xml version="1.0" encoding="utf-8"?>
<officeatwork xmlns="http://schemas.officeatwork.com/MasterProperties">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</officeatwork>
</file>

<file path=customXml/item6.xml><?xml version="1.0" encoding="utf-8"?>
<officeatwork xmlns="http://schemas.officeatwork.com/Media"/>
</file>

<file path=customXml/itemProps1.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B821E2AC-DB25-4C84-9288-0F67E832DBC7}">
  <ds:schemaRefs>
    <ds:schemaRef ds:uri="http://schemas.openxmlformats.org/officeDocument/2006/bibliography"/>
  </ds:schemaRefs>
</ds:datastoreItem>
</file>

<file path=customXml/itemProps4.xml><?xml version="1.0" encoding="utf-8"?>
<ds:datastoreItem xmlns:ds="http://schemas.openxmlformats.org/officeDocument/2006/customXml" ds:itemID="{689BBD46-C29D-4655-AC43-F138195ABA56}">
  <ds:schemaRefs>
    <ds:schemaRef ds:uri="http://schemas.officeatwork.com/Document"/>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266ABE55-E049-409F-9CBD-15A8924B0F65}">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3844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 Melanie, GSI-AIS</dc:creator>
  <cp:keywords/>
  <dc:description/>
  <cp:lastModifiedBy>Ogi Melanie, GSI-AIS</cp:lastModifiedBy>
  <cp:revision>2</cp:revision>
  <dcterms:created xsi:type="dcterms:W3CDTF">2024-12-30T16:08:00Z</dcterms:created>
  <dcterms:modified xsi:type="dcterms:W3CDTF">2025-01-03T16:36:00Z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awInfo">
    <vt:lpwstr/>
  </property>
  <property fmtid="{D5CDD505-2E9C-101B-9397-08002B2CF9AE}" pid="3" name="oawDisplayName">
    <vt:lpwstr/>
  </property>
  <property fmtid="{D5CDD505-2E9C-101B-9397-08002B2CF9AE}" pid="4" name="oawID">
    <vt:lpwstr/>
  </property>
  <property fmtid="{D5CDD505-2E9C-101B-9397-08002B2CF9AE}" pid="5" name="Author.Name">
    <vt:lpwstr/>
  </property>
  <property fmtid="{D5CDD505-2E9C-101B-9397-08002B2CF9AE}" pid="6" name="Doc.Text">
    <vt:lpwstr>Texte</vt:lpwstr>
  </property>
  <property fmtid="{D5CDD505-2E9C-101B-9397-08002B2CF9AE}" pid="7" name="Doc.Subject">
    <vt:lpwstr>Concerne</vt:lpwstr>
  </property>
  <property fmtid="{D5CDD505-2E9C-101B-9397-08002B2CF9AE}" pid="8" name="KESB/APEA">
    <vt:lpwstr/>
  </property>
  <property fmtid="{D5CDD505-2E9C-101B-9397-08002B2CF9AE}" pid="9" name="CustomField.pfad">
    <vt:lpwstr>Aucune indication</vt:lpwstr>
  </property>
  <property fmtid="{D5CDD505-2E9C-101B-9397-08002B2CF9AE}" pid="10" name="MSIP_Label_74fdd986-87d9-48c6-acda-407b1ab5fef0_Enabled">
    <vt:lpwstr>true</vt:lpwstr>
  </property>
  <property fmtid="{D5CDD505-2E9C-101B-9397-08002B2CF9AE}" pid="11" name="MSIP_Label_74fdd986-87d9-48c6-acda-407b1ab5fef0_SetDate">
    <vt:lpwstr>2024-12-30T16:36:11Z</vt:lpwstr>
  </property>
  <property fmtid="{D5CDD505-2E9C-101B-9397-08002B2CF9AE}" pid="12" name="MSIP_Label_74fdd986-87d9-48c6-acda-407b1ab5fef0_Method">
    <vt:lpwstr>Standard</vt:lpwstr>
  </property>
  <property fmtid="{D5CDD505-2E9C-101B-9397-08002B2CF9AE}" pid="13" name="MSIP_Label_74fdd986-87d9-48c6-acda-407b1ab5fef0_Name">
    <vt:lpwstr>NICHT KLASSIFIZIERT</vt:lpwstr>
  </property>
  <property fmtid="{D5CDD505-2E9C-101B-9397-08002B2CF9AE}" pid="14" name="MSIP_Label_74fdd986-87d9-48c6-acda-407b1ab5fef0_SiteId">
    <vt:lpwstr>cb96f99a-a111-42d7-9f65-e111197ba4bb</vt:lpwstr>
  </property>
  <property fmtid="{D5CDD505-2E9C-101B-9397-08002B2CF9AE}" pid="15" name="MSIP_Label_74fdd986-87d9-48c6-acda-407b1ab5fef0_ActionId">
    <vt:lpwstr>79aeafda-e2ab-47b5-a24e-3ed3da0a3bf3</vt:lpwstr>
  </property>
  <property fmtid="{D5CDD505-2E9C-101B-9397-08002B2CF9AE}" pid="16" name="MSIP_Label_74fdd986-87d9-48c6-acda-407b1ab5fef0_ContentBits">
    <vt:lpwstr>0</vt:lpwstr>
  </property>
</Properties>
</file>