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6F356A" w:rsidTr="00136B3F">
        <w:trPr>
          <w:trHeight w:val="284"/>
        </w:trPr>
        <w:tc>
          <w:tcPr>
            <w:tcW w:w="5102" w:type="dxa"/>
            <w:vMerge w:val="restart"/>
          </w:tcPr>
          <w:p w:rsidR="00136B3F" w:rsidRPr="006F356A" w:rsidRDefault="00807C40" w:rsidP="005C1D53">
            <w:pPr>
              <w:pStyle w:val="Text85pt"/>
            </w:pPr>
            <w:sdt>
              <w:sdtPr>
                <w:tag w:val="AddressBlock"/>
                <w:id w:val="-2072954662"/>
                <w:placeholder>
                  <w:docPart w:val="BA800CB04A884C61840B598D296DB6FD"/>
                </w:placeholder>
                <w:dataBinding w:prefixMappings="xmlns:ns='http://schemas.officeatwork.com/CustomXMLPart'" w:xpath="/ns:officeatwork/ns:AddressBlock" w:storeItemID="{C9EF7656-0210-462C-829B-A9AFE99E1459}"/>
                <w:text w:multiLine="1"/>
              </w:sdtPr>
              <w:sdtEndPr/>
              <w:sdtContent>
                <w:r w:rsidR="006F356A" w:rsidRPr="006F356A">
                  <w:t xml:space="preserve">Gesundheits-, Sozial- und Integrationsdirektion   </w:t>
                </w:r>
                <w:r w:rsidR="006F356A" w:rsidRPr="006F356A">
                  <w:br/>
                  <w:t xml:space="preserve">Amt für Integration und Soziales   </w:t>
                </w:r>
                <w:r w:rsidR="006F356A" w:rsidRPr="006F356A">
                  <w:br/>
                  <w:t>Abteilung Finanzen und Revision</w:t>
                </w:r>
              </w:sdtContent>
            </w:sdt>
          </w:p>
          <w:p w:rsidR="00136B3F" w:rsidRPr="006F356A" w:rsidRDefault="00136B3F" w:rsidP="005C1D53">
            <w:pPr>
              <w:pStyle w:val="Text85pt"/>
            </w:pPr>
          </w:p>
        </w:tc>
      </w:tr>
      <w:tr w:rsidR="00136B3F" w:rsidRPr="006F356A" w:rsidTr="00136B3F">
        <w:trPr>
          <w:trHeight w:val="284"/>
        </w:trPr>
        <w:tc>
          <w:tcPr>
            <w:tcW w:w="5102" w:type="dxa"/>
            <w:vMerge/>
          </w:tcPr>
          <w:p w:rsidR="00136B3F" w:rsidRPr="006F356A" w:rsidRDefault="00136B3F" w:rsidP="005C1D53"/>
        </w:tc>
      </w:tr>
      <w:tr w:rsidR="00136B3F" w:rsidRPr="006F356A" w:rsidTr="00136B3F">
        <w:trPr>
          <w:trHeight w:val="284"/>
        </w:trPr>
        <w:tc>
          <w:tcPr>
            <w:tcW w:w="5102" w:type="dxa"/>
            <w:vMerge/>
          </w:tcPr>
          <w:p w:rsidR="00136B3F" w:rsidRPr="006F356A" w:rsidRDefault="00136B3F" w:rsidP="005C1D53"/>
        </w:tc>
      </w:tr>
    </w:tbl>
    <w:p w:rsidR="002830D7" w:rsidRPr="006F356A" w:rsidRDefault="002538C0" w:rsidP="00D81013">
      <w:pPr>
        <w:pStyle w:val="Titel"/>
        <w:spacing w:after="100" w:afterAutospacing="1" w:line="270" w:lineRule="atLeast"/>
        <w:contextualSpacing w:val="0"/>
        <w:rPr>
          <w:b/>
        </w:rPr>
      </w:pPr>
      <w:r w:rsidRPr="006F356A">
        <w:rPr>
          <w:b/>
        </w:rPr>
        <w:t>Wegleit</w:t>
      </w:r>
      <w:r w:rsidR="00DD683E" w:rsidRPr="006F356A">
        <w:rPr>
          <w:b/>
        </w:rPr>
        <w:t xml:space="preserve">ung zur Leistungsabrechnung </w:t>
      </w:r>
      <w:r w:rsidR="00BF2F85" w:rsidRPr="006F356A">
        <w:rPr>
          <w:b/>
        </w:rPr>
        <w:t>2022</w:t>
      </w:r>
    </w:p>
    <w:p w:rsidR="00F5408D" w:rsidRPr="006F356A" w:rsidRDefault="002538C0" w:rsidP="00D81013">
      <w:pPr>
        <w:spacing w:before="480"/>
      </w:pPr>
      <w:r w:rsidRPr="006F356A">
        <w:t>Für Wohnheime und Tagesstätten für erwachsene Personen mit einer Behinderung</w:t>
      </w:r>
    </w:p>
    <w:p w:rsidR="002538C0" w:rsidRPr="006F356A" w:rsidRDefault="002538C0" w:rsidP="00D81013">
      <w:pPr>
        <w:spacing w:after="200" w:line="240" w:lineRule="atLeast"/>
      </w:pPr>
      <w:r w:rsidRPr="006F356A">
        <w:br w:type="page"/>
      </w:r>
    </w:p>
    <w:p w:rsidR="002538C0" w:rsidRPr="006F356A" w:rsidRDefault="002538C0" w:rsidP="002538C0">
      <w:pPr>
        <w:pStyle w:val="berschrift1nummeriert"/>
      </w:pPr>
      <w:r w:rsidRPr="006F356A">
        <w:lastRenderedPageBreak/>
        <w:t>Vorbemerkungen</w:t>
      </w:r>
    </w:p>
    <w:p w:rsidR="002538C0" w:rsidRPr="006F356A" w:rsidRDefault="002538C0" w:rsidP="00F91D0E">
      <w:pPr>
        <w:pStyle w:val="berschrift2nummeriert"/>
        <w:spacing w:before="360"/>
      </w:pPr>
      <w:r w:rsidRPr="006F356A">
        <w:t>Allgemeines</w:t>
      </w:r>
    </w:p>
    <w:p w:rsidR="002538C0" w:rsidRPr="006F356A" w:rsidRDefault="002538C0" w:rsidP="002538C0">
      <w:pPr>
        <w:spacing w:after="240"/>
      </w:pPr>
      <w:r w:rsidRPr="006F356A">
        <w:t>Die Pauschalabgeltung bedingt das quartalsweise Ausfüllen der dafür vorgesehenen Abrechnungsvorlage. Die Basisdaten müssen nur einmal erfasst werden. Für jedes abgeschlossene Quartal sind die dafür nötigen Angaben einzutragen. Nähere Erläuterungen dazu finden Sie unter Punkt 2.</w:t>
      </w:r>
    </w:p>
    <w:p w:rsidR="002538C0" w:rsidRPr="006F356A" w:rsidRDefault="002538C0" w:rsidP="002538C0">
      <w:pPr>
        <w:spacing w:after="240"/>
      </w:pPr>
      <w:r w:rsidRPr="006F356A">
        <w:t>Eine für d</w:t>
      </w:r>
      <w:r w:rsidR="00C81EFA" w:rsidRPr="006F356A">
        <w:t xml:space="preserve">as Jahr </w:t>
      </w:r>
      <w:r w:rsidR="00BF2F85" w:rsidRPr="006F356A">
        <w:t>2022</w:t>
      </w:r>
      <w:r w:rsidRPr="006F356A">
        <w:t xml:space="preserve"> gewährte Akontozahlung wird mit der 2. Quartalsabrechnung verrechnet.</w:t>
      </w:r>
      <w:r w:rsidRPr="006F356A">
        <w:rPr>
          <w:vertAlign w:val="superscript"/>
        </w:rPr>
        <w:t xml:space="preserve"> </w:t>
      </w:r>
    </w:p>
    <w:p w:rsidR="002538C0" w:rsidRPr="00454656" w:rsidRDefault="002538C0" w:rsidP="002538C0">
      <w:pPr>
        <w:spacing w:after="240"/>
      </w:pPr>
      <w:r w:rsidRPr="00454656">
        <w:t>Für die Quartalsabrechnungen bestehen pro Monat zwei Auszahlungstermine nämlich der 20. und der 30. Bei Einreichung der Unterlagen (vollständig und abgestimmt) bis zum 15. des Monats, erfolgt die Zahlung bis zum 20. des Folgemonats. Bei Einreichung nach dem 15. des Monats erfolgt die Auszahlung bis zum 30. des Folgemonats.</w:t>
      </w:r>
    </w:p>
    <w:p w:rsidR="002538C0" w:rsidRPr="00454656" w:rsidRDefault="002538C0" w:rsidP="00F91D0E">
      <w:pPr>
        <w:pStyle w:val="berschrift2nummeriert"/>
        <w:spacing w:before="360"/>
      </w:pPr>
      <w:r w:rsidRPr="00454656">
        <w:t>Abrechnung Berner Klienten/innen</w:t>
      </w:r>
    </w:p>
    <w:p w:rsidR="002538C0" w:rsidRPr="00454656" w:rsidRDefault="002538C0" w:rsidP="002538C0">
      <w:pPr>
        <w:spacing w:after="120"/>
      </w:pPr>
      <w:r w:rsidRPr="00454656">
        <w:t>Abgerechnet werden pro Quartal und Angebot die geleisteten</w:t>
      </w:r>
      <w:r w:rsidRPr="00454656">
        <w:rPr>
          <w:b/>
        </w:rPr>
        <w:t>, anrechenbaren</w:t>
      </w:r>
      <w:r w:rsidRPr="00454656">
        <w:t xml:space="preserve"> Aufenthaltstage resp. Präsenztage sowie Stunden (ambulante Betreuung) zum vereinbarten Leistungspreis abzüglich der dazugehörenden Tariferträge.</w:t>
      </w:r>
    </w:p>
    <w:p w:rsidR="002538C0" w:rsidRPr="00454656" w:rsidRDefault="002538C0" w:rsidP="002538C0">
      <w:r w:rsidRPr="00454656">
        <w:t xml:space="preserve">Als </w:t>
      </w:r>
      <w:r w:rsidRPr="00454656">
        <w:rPr>
          <w:b/>
        </w:rPr>
        <w:t>anrechenbar</w:t>
      </w:r>
      <w:r w:rsidRPr="00454656">
        <w:t xml:space="preserve"> gelten folgende Klienten Kategorien:</w:t>
      </w:r>
    </w:p>
    <w:p w:rsidR="002538C0" w:rsidRPr="00454656" w:rsidRDefault="002538C0" w:rsidP="002538C0">
      <w:pPr>
        <w:pStyle w:val="Listenabsatz"/>
        <w:numPr>
          <w:ilvl w:val="0"/>
          <w:numId w:val="26"/>
        </w:numPr>
        <w:overflowPunct w:val="0"/>
        <w:autoSpaceDE w:val="0"/>
        <w:autoSpaceDN w:val="0"/>
        <w:adjustRightInd w:val="0"/>
        <w:spacing w:line="240" w:lineRule="auto"/>
        <w:textAlignment w:val="baseline"/>
      </w:pPr>
      <w:r w:rsidRPr="00454656">
        <w:t>IV-Rentner/innen</w:t>
      </w:r>
    </w:p>
    <w:p w:rsidR="002538C0" w:rsidRPr="00454656" w:rsidRDefault="002538C0" w:rsidP="002538C0">
      <w:pPr>
        <w:pStyle w:val="Listenabsatz"/>
        <w:numPr>
          <w:ilvl w:val="0"/>
          <w:numId w:val="26"/>
        </w:numPr>
        <w:overflowPunct w:val="0"/>
        <w:autoSpaceDE w:val="0"/>
        <w:autoSpaceDN w:val="0"/>
        <w:adjustRightInd w:val="0"/>
        <w:spacing w:line="240" w:lineRule="auto"/>
        <w:textAlignment w:val="baseline"/>
      </w:pPr>
      <w:r w:rsidRPr="00454656">
        <w:t>Selbstzahler/innen</w:t>
      </w:r>
    </w:p>
    <w:p w:rsidR="00852F03" w:rsidRPr="00454656" w:rsidRDefault="00852F03" w:rsidP="002538C0">
      <w:pPr>
        <w:pStyle w:val="Listenabsatz"/>
        <w:numPr>
          <w:ilvl w:val="0"/>
          <w:numId w:val="26"/>
        </w:numPr>
        <w:overflowPunct w:val="0"/>
        <w:autoSpaceDE w:val="0"/>
        <w:autoSpaceDN w:val="0"/>
        <w:adjustRightInd w:val="0"/>
        <w:spacing w:line="240" w:lineRule="auto"/>
        <w:textAlignment w:val="baseline"/>
      </w:pPr>
      <w:r w:rsidRPr="00454656">
        <w:t>KESB mit IV-Rente</w:t>
      </w:r>
    </w:p>
    <w:p w:rsidR="002538C0" w:rsidRPr="00454656" w:rsidRDefault="002538C0" w:rsidP="002538C0">
      <w:pPr>
        <w:pStyle w:val="Listenabsatz"/>
        <w:numPr>
          <w:ilvl w:val="0"/>
          <w:numId w:val="26"/>
        </w:numPr>
        <w:overflowPunct w:val="0"/>
        <w:autoSpaceDE w:val="0"/>
        <w:autoSpaceDN w:val="0"/>
        <w:adjustRightInd w:val="0"/>
        <w:spacing w:line="240" w:lineRule="auto"/>
        <w:textAlignment w:val="baseline"/>
      </w:pPr>
      <w:r w:rsidRPr="00454656">
        <w:t>Spital-/Klinikaufenthalte von IV-Rentner/innen</w:t>
      </w:r>
    </w:p>
    <w:p w:rsidR="002538C0" w:rsidRPr="00454656" w:rsidRDefault="002538C0" w:rsidP="002538C0">
      <w:pPr>
        <w:pStyle w:val="Listenabsatz"/>
        <w:numPr>
          <w:ilvl w:val="0"/>
          <w:numId w:val="26"/>
        </w:numPr>
        <w:overflowPunct w:val="0"/>
        <w:autoSpaceDE w:val="0"/>
        <w:autoSpaceDN w:val="0"/>
        <w:adjustRightInd w:val="0"/>
        <w:spacing w:line="240" w:lineRule="auto"/>
        <w:textAlignment w:val="baseline"/>
      </w:pPr>
      <w:r w:rsidRPr="00454656">
        <w:t>Spital-/Klinikaufenthalte von Selbstzahler/innen</w:t>
      </w:r>
    </w:p>
    <w:p w:rsidR="00852F03" w:rsidRPr="00454656" w:rsidRDefault="00852F03" w:rsidP="00852F03">
      <w:pPr>
        <w:pStyle w:val="Listenabsatz"/>
        <w:numPr>
          <w:ilvl w:val="0"/>
          <w:numId w:val="26"/>
        </w:numPr>
        <w:overflowPunct w:val="0"/>
        <w:autoSpaceDE w:val="0"/>
        <w:autoSpaceDN w:val="0"/>
        <w:adjustRightInd w:val="0"/>
        <w:spacing w:line="240" w:lineRule="auto"/>
        <w:textAlignment w:val="baseline"/>
      </w:pPr>
      <w:r w:rsidRPr="00454656">
        <w:t>Spital-/Klinikaufenthalte von KESB mit IV-Rente</w:t>
      </w:r>
    </w:p>
    <w:p w:rsidR="002538C0" w:rsidRPr="00454656" w:rsidRDefault="002538C0" w:rsidP="002538C0">
      <w:pPr>
        <w:pStyle w:val="Listenabsatz"/>
        <w:numPr>
          <w:ilvl w:val="0"/>
          <w:numId w:val="26"/>
        </w:numPr>
        <w:overflowPunct w:val="0"/>
        <w:autoSpaceDE w:val="0"/>
        <w:autoSpaceDN w:val="0"/>
        <w:adjustRightInd w:val="0"/>
        <w:spacing w:line="240" w:lineRule="auto"/>
        <w:textAlignment w:val="baseline"/>
      </w:pPr>
      <w:r w:rsidRPr="00454656">
        <w:t>Jugendliche unter 18 Jahren (Abgänger von Sonderschulheimen)</w:t>
      </w:r>
    </w:p>
    <w:p w:rsidR="002538C0" w:rsidRPr="00454656" w:rsidRDefault="002538C0" w:rsidP="002538C0">
      <w:pPr>
        <w:pStyle w:val="Listenabsatz"/>
        <w:numPr>
          <w:ilvl w:val="0"/>
          <w:numId w:val="26"/>
        </w:numPr>
        <w:overflowPunct w:val="0"/>
        <w:autoSpaceDE w:val="0"/>
        <w:autoSpaceDN w:val="0"/>
        <w:adjustRightInd w:val="0"/>
        <w:spacing w:after="120" w:line="240" w:lineRule="auto"/>
        <w:ind w:left="714" w:hanging="357"/>
        <w:contextualSpacing w:val="0"/>
        <w:textAlignment w:val="baseline"/>
      </w:pPr>
      <w:r w:rsidRPr="00454656">
        <w:t>Ferienaufenthalter/innen</w:t>
      </w:r>
    </w:p>
    <w:p w:rsidR="002538C0" w:rsidRPr="00454656" w:rsidRDefault="002538C0" w:rsidP="002538C0">
      <w:r w:rsidRPr="00454656">
        <w:t xml:space="preserve">Als </w:t>
      </w:r>
      <w:r w:rsidRPr="00454656">
        <w:rPr>
          <w:b/>
        </w:rPr>
        <w:t>NICHT</w:t>
      </w:r>
      <w:r w:rsidRPr="00454656">
        <w:t xml:space="preserve"> </w:t>
      </w:r>
      <w:r w:rsidRPr="00454656">
        <w:rPr>
          <w:b/>
        </w:rPr>
        <w:t xml:space="preserve">anrechenbar </w:t>
      </w:r>
      <w:r w:rsidRPr="00454656">
        <w:t xml:space="preserve">und in den Kategorien </w:t>
      </w:r>
      <w:r w:rsidR="00DD30B8">
        <w:t>«</w:t>
      </w:r>
      <w:r w:rsidRPr="00454656">
        <w:t>Finanzierung Sozialdienst</w:t>
      </w:r>
      <w:r w:rsidR="00DD30B8">
        <w:t>»</w:t>
      </w:r>
      <w:r w:rsidRPr="00454656">
        <w:t>, „Finanzierung KESB ohne IV-Rente</w:t>
      </w:r>
      <w:r w:rsidR="008A245D" w:rsidRPr="00454656">
        <w:t xml:space="preserve">“ und </w:t>
      </w:r>
      <w:r w:rsidR="00DD30B8">
        <w:t>«</w:t>
      </w:r>
      <w:r w:rsidRPr="00454656">
        <w:t>Straf- und Massnahmenvollzug</w:t>
      </w:r>
      <w:r w:rsidR="00DD30B8">
        <w:t>»</w:t>
      </w:r>
      <w:r w:rsidRPr="00454656">
        <w:t xml:space="preserve"> zu erfassen gelten:</w:t>
      </w:r>
    </w:p>
    <w:p w:rsidR="002538C0" w:rsidRPr="00454656" w:rsidRDefault="002538C0" w:rsidP="002538C0">
      <w:pPr>
        <w:pStyle w:val="Listenabsatz"/>
        <w:numPr>
          <w:ilvl w:val="0"/>
          <w:numId w:val="26"/>
        </w:numPr>
        <w:overflowPunct w:val="0"/>
        <w:autoSpaceDE w:val="0"/>
        <w:autoSpaceDN w:val="0"/>
        <w:adjustRightInd w:val="0"/>
        <w:spacing w:line="240" w:lineRule="auto"/>
        <w:textAlignment w:val="baseline"/>
      </w:pPr>
      <w:r w:rsidRPr="00454656">
        <w:t>Klienten/innen, welche über keine IV-Rente verfügen (mit Ausnahme von Abgängern von Sonderschulheimen)</w:t>
      </w:r>
    </w:p>
    <w:p w:rsidR="002538C0" w:rsidRPr="00454656" w:rsidRDefault="002538C0" w:rsidP="002538C0">
      <w:pPr>
        <w:pStyle w:val="Listenabsatz"/>
        <w:numPr>
          <w:ilvl w:val="0"/>
          <w:numId w:val="26"/>
        </w:numPr>
        <w:overflowPunct w:val="0"/>
        <w:autoSpaceDE w:val="0"/>
        <w:autoSpaceDN w:val="0"/>
        <w:adjustRightInd w:val="0"/>
        <w:spacing w:line="240" w:lineRule="auto"/>
        <w:ind w:left="714" w:hanging="357"/>
        <w:contextualSpacing w:val="0"/>
        <w:textAlignment w:val="baseline"/>
      </w:pPr>
      <w:r w:rsidRPr="00454656">
        <w:t>Klienten/innen, welche von der KESB</w:t>
      </w:r>
      <w:r w:rsidRPr="00454656">
        <w:rPr>
          <w:rStyle w:val="Funotenzeichen"/>
        </w:rPr>
        <w:footnoteReference w:id="1"/>
      </w:r>
      <w:r w:rsidRPr="00454656">
        <w:t xml:space="preserve"> platziert werden </w:t>
      </w:r>
      <w:r w:rsidR="00E76B17" w:rsidRPr="00454656">
        <w:t>und keine über keine IV-Rente verfügen</w:t>
      </w:r>
    </w:p>
    <w:p w:rsidR="002538C0" w:rsidRPr="00454656" w:rsidRDefault="002538C0" w:rsidP="002538C0">
      <w:pPr>
        <w:pStyle w:val="Listenabsatz"/>
        <w:numPr>
          <w:ilvl w:val="0"/>
          <w:numId w:val="26"/>
        </w:numPr>
        <w:overflowPunct w:val="0"/>
        <w:autoSpaceDE w:val="0"/>
        <w:autoSpaceDN w:val="0"/>
        <w:adjustRightInd w:val="0"/>
        <w:spacing w:after="120" w:line="240" w:lineRule="auto"/>
        <w:ind w:left="714" w:hanging="357"/>
        <w:contextualSpacing w:val="0"/>
        <w:textAlignment w:val="baseline"/>
      </w:pPr>
      <w:r w:rsidRPr="00454656">
        <w:t>Klienten/innen, welche sich in einem Straf- und Massnahmenvollzug befinden</w:t>
      </w:r>
    </w:p>
    <w:p w:rsidR="002538C0" w:rsidRPr="00454656" w:rsidRDefault="002538C0" w:rsidP="002538C0">
      <w:pPr>
        <w:spacing w:after="240"/>
      </w:pPr>
      <w:r w:rsidRPr="00454656">
        <w:t xml:space="preserve">Bei diesen </w:t>
      </w:r>
      <w:r w:rsidRPr="00454656">
        <w:rPr>
          <w:b/>
        </w:rPr>
        <w:t>nicht anrechenbaren</w:t>
      </w:r>
      <w:r w:rsidRPr="00454656">
        <w:t xml:space="preserve"> Kategorien ist die Institution verpflichtet, auf das zutreffende Angebot bezogen, </w:t>
      </w:r>
      <w:r w:rsidRPr="00454656">
        <w:rPr>
          <w:b/>
        </w:rPr>
        <w:t>kostendeckende Tarife pro Kalendertag zu verrechnen</w:t>
      </w:r>
      <w:r w:rsidRPr="00454656">
        <w:t>. Als kostendeckender Tarif gilt der pro Angebot im Leistungsvertrag errechnete Nettobetriebskostenansatz pro Kalendertag. In der Tabelle Leistu</w:t>
      </w:r>
      <w:r w:rsidR="008A245D" w:rsidRPr="00454656">
        <w:t>ngsnachweis Fin. SOZD, KESB, SID</w:t>
      </w:r>
      <w:r w:rsidRPr="00454656">
        <w:t xml:space="preserve"> sind wie bisher die Aufenthalts- resp. Präsenztage anzugeben, welche dann in die Berechnung einer allfälligen Überschreitung der Obergrenze einfliessen.</w:t>
      </w:r>
    </w:p>
    <w:p w:rsidR="002538C0" w:rsidRPr="00454656" w:rsidRDefault="002538C0" w:rsidP="00F91D0E">
      <w:pPr>
        <w:pStyle w:val="berschrift2nummeriert"/>
        <w:spacing w:before="360"/>
      </w:pPr>
      <w:r w:rsidRPr="00454656">
        <w:t>Abrechnung von ausserkantonalen Klienten/innen</w:t>
      </w:r>
    </w:p>
    <w:p w:rsidR="002538C0" w:rsidRPr="00454656" w:rsidRDefault="002538C0" w:rsidP="002538C0">
      <w:r w:rsidRPr="00454656">
        <w:t xml:space="preserve">Im </w:t>
      </w:r>
      <w:r w:rsidR="00DD30B8">
        <w:t>«</w:t>
      </w:r>
      <w:r w:rsidRPr="00454656">
        <w:t>Leistungsnachweis nicht BE</w:t>
      </w:r>
      <w:r w:rsidR="00DD30B8">
        <w:t>»</w:t>
      </w:r>
      <w:r w:rsidRPr="00454656">
        <w:t xml:space="preserve"> sind die Aufenthalts- resp. Präsenztage der ausserkantonalen Klienten/innen zu erfassen. Dabei handelt es sich um nicht anrechenbare Aufenthalts- resp. Präsenztage, welche jedoch in die Berechnung einer allfälligen Überschreitung der Obergrenze einfliessen werden.</w:t>
      </w:r>
    </w:p>
    <w:p w:rsidR="002538C0" w:rsidRPr="00454656" w:rsidRDefault="002538C0" w:rsidP="002538C0">
      <w:pPr>
        <w:spacing w:after="240"/>
      </w:pPr>
      <w:r w:rsidRPr="00454656">
        <w:lastRenderedPageBreak/>
        <w:t xml:space="preserve">Es ist im Vorfeld ein Gesuch um Kostenübernahme </w:t>
      </w:r>
      <w:r w:rsidR="00DD30B8">
        <w:t>«</w:t>
      </w:r>
      <w:r w:rsidRPr="00454656">
        <w:t>Pauschalabgeltung</w:t>
      </w:r>
      <w:r w:rsidR="00DD30B8">
        <w:t>»</w:t>
      </w:r>
      <w:r w:rsidRPr="00454656">
        <w:t xml:space="preserve"> einzureichen. Basis des zu verrechnenden Tarifs bildet der im Leistungsvertrag errechnete kostendeckende Tarif inkl. dem Anteil an den Kapitalkosten (</w:t>
      </w:r>
      <w:r w:rsidR="00DD30B8">
        <w:t>«</w:t>
      </w:r>
      <w:r w:rsidRPr="00454656">
        <w:t>KÜG-Tarif für Pauschalabgeltung</w:t>
      </w:r>
      <w:r w:rsidR="00DD30B8">
        <w:t>»</w:t>
      </w:r>
      <w:r w:rsidRPr="00454656">
        <w:t>). Die Restdefizitabrechnung entfällt.</w:t>
      </w:r>
    </w:p>
    <w:p w:rsidR="002538C0" w:rsidRPr="00454656" w:rsidRDefault="002538C0" w:rsidP="00F91D0E">
      <w:pPr>
        <w:pStyle w:val="berschrift1nummeriert"/>
        <w:spacing w:before="360"/>
      </w:pPr>
      <w:r w:rsidRPr="00454656">
        <w:t>Erläuterungen zu den einzelnen Tabellen</w:t>
      </w:r>
    </w:p>
    <w:p w:rsidR="002538C0" w:rsidRPr="00454656" w:rsidRDefault="002538C0" w:rsidP="002538C0">
      <w:pPr>
        <w:spacing w:after="120"/>
      </w:pPr>
      <w:r w:rsidRPr="00454656">
        <w:t xml:space="preserve">Alle Formulare sind miteinander verknüpft. Eintragungen können nur in den </w:t>
      </w:r>
      <w:r w:rsidRPr="00454656">
        <w:rPr>
          <w:b/>
        </w:rPr>
        <w:t xml:space="preserve">gelb markierten, </w:t>
      </w:r>
      <w:r w:rsidRPr="00454656">
        <w:t>ungeschützten Feldern gemacht werden. Die übrigen Felder der Formulare sind gesperrt, da jede Veränderung von Zellen oder Formeln eine Fehlberechnung zur Folge haben kann. Die Formeln sind jedoch sichtbar.</w:t>
      </w:r>
    </w:p>
    <w:p w:rsidR="002538C0" w:rsidRPr="00454656" w:rsidRDefault="002538C0" w:rsidP="002538C0">
      <w:pPr>
        <w:spacing w:after="120"/>
      </w:pPr>
      <w:r w:rsidRPr="00454656">
        <w:t>Bitte beachten Sie beim Ausfüllen der Formulare die ergänzenden Kommentare in den einzelnen Zellen (rotes Dreieck in der rechten oberen Ecke der Zelle).</w:t>
      </w:r>
    </w:p>
    <w:p w:rsidR="002538C0" w:rsidRPr="00454656" w:rsidRDefault="002538C0" w:rsidP="002538C0">
      <w:pPr>
        <w:spacing w:after="120"/>
      </w:pPr>
      <w:r w:rsidRPr="00454656">
        <w:t>Bitte keine zusätzlichen Tabellen in die Vorlage einfügen oder Änderungen vornehmen. Senden Sie uns ergänzende Informationen separat ein.</w:t>
      </w:r>
    </w:p>
    <w:p w:rsidR="002538C0" w:rsidRPr="00454656" w:rsidRDefault="00BD600D" w:rsidP="00F91D0E">
      <w:pPr>
        <w:pStyle w:val="berschrift2nummeriert"/>
        <w:spacing w:before="360"/>
      </w:pPr>
      <w:r w:rsidRPr="00454656">
        <w:t>«Basisdaten»</w:t>
      </w:r>
    </w:p>
    <w:p w:rsidR="002538C0" w:rsidRPr="00454656" w:rsidRDefault="002538C0" w:rsidP="002538C0">
      <w:pPr>
        <w:tabs>
          <w:tab w:val="left" w:pos="426"/>
        </w:tabs>
        <w:spacing w:after="120"/>
        <w:ind w:left="425" w:hanging="425"/>
      </w:pPr>
      <w:r w:rsidRPr="00454656">
        <w:t>Auf diesem Tabellenblatt sind folgende Angaben zu erfassen:</w:t>
      </w:r>
    </w:p>
    <w:p w:rsidR="002538C0" w:rsidRPr="00454656" w:rsidRDefault="002538C0" w:rsidP="002538C0">
      <w:pPr>
        <w:pStyle w:val="Listenabsatz"/>
        <w:numPr>
          <w:ilvl w:val="0"/>
          <w:numId w:val="27"/>
        </w:numPr>
        <w:tabs>
          <w:tab w:val="left" w:pos="426"/>
        </w:tabs>
        <w:overflowPunct w:val="0"/>
        <w:autoSpaceDE w:val="0"/>
        <w:autoSpaceDN w:val="0"/>
        <w:adjustRightInd w:val="0"/>
        <w:spacing w:after="120" w:line="240" w:lineRule="auto"/>
        <w:textAlignment w:val="baseline"/>
      </w:pPr>
      <w:r w:rsidRPr="00454656">
        <w:t>Trägerschaft</w:t>
      </w:r>
    </w:p>
    <w:p w:rsidR="002538C0" w:rsidRPr="00454656" w:rsidRDefault="002538C0" w:rsidP="002538C0">
      <w:pPr>
        <w:pStyle w:val="Listenabsatz"/>
        <w:numPr>
          <w:ilvl w:val="0"/>
          <w:numId w:val="27"/>
        </w:numPr>
        <w:tabs>
          <w:tab w:val="left" w:pos="426"/>
        </w:tabs>
        <w:overflowPunct w:val="0"/>
        <w:autoSpaceDE w:val="0"/>
        <w:autoSpaceDN w:val="0"/>
        <w:adjustRightInd w:val="0"/>
        <w:spacing w:after="120" w:line="240" w:lineRule="auto"/>
        <w:textAlignment w:val="baseline"/>
      </w:pPr>
      <w:r w:rsidRPr="00454656">
        <w:t>Institution</w:t>
      </w:r>
    </w:p>
    <w:p w:rsidR="002538C0" w:rsidRPr="00454656" w:rsidRDefault="002538C0" w:rsidP="002538C0">
      <w:pPr>
        <w:pStyle w:val="Listenabsatz"/>
        <w:numPr>
          <w:ilvl w:val="0"/>
          <w:numId w:val="27"/>
        </w:numPr>
        <w:tabs>
          <w:tab w:val="left" w:pos="426"/>
        </w:tabs>
        <w:overflowPunct w:val="0"/>
        <w:autoSpaceDE w:val="0"/>
        <w:autoSpaceDN w:val="0"/>
        <w:adjustRightInd w:val="0"/>
        <w:spacing w:after="120" w:line="240" w:lineRule="auto"/>
        <w:textAlignment w:val="baseline"/>
      </w:pPr>
      <w:r w:rsidRPr="00454656">
        <w:t>Name der für die Abrechnung zuständigen Person</w:t>
      </w:r>
    </w:p>
    <w:p w:rsidR="002538C0" w:rsidRPr="00454656" w:rsidRDefault="002538C0" w:rsidP="002538C0">
      <w:pPr>
        <w:pStyle w:val="Listenabsatz"/>
        <w:numPr>
          <w:ilvl w:val="0"/>
          <w:numId w:val="27"/>
        </w:numPr>
        <w:tabs>
          <w:tab w:val="left" w:pos="426"/>
        </w:tabs>
        <w:overflowPunct w:val="0"/>
        <w:autoSpaceDE w:val="0"/>
        <w:autoSpaceDN w:val="0"/>
        <w:adjustRightInd w:val="0"/>
        <w:spacing w:after="120" w:line="240" w:lineRule="auto"/>
        <w:textAlignment w:val="baseline"/>
      </w:pPr>
      <w:r w:rsidRPr="00454656">
        <w:t>Zahlungsverbindungen</w:t>
      </w:r>
    </w:p>
    <w:p w:rsidR="002538C0" w:rsidRPr="00454656" w:rsidRDefault="002538C0" w:rsidP="002538C0">
      <w:pPr>
        <w:pStyle w:val="Listenabsatz"/>
        <w:numPr>
          <w:ilvl w:val="0"/>
          <w:numId w:val="27"/>
        </w:numPr>
        <w:tabs>
          <w:tab w:val="left" w:pos="426"/>
        </w:tabs>
        <w:overflowPunct w:val="0"/>
        <w:autoSpaceDE w:val="0"/>
        <w:autoSpaceDN w:val="0"/>
        <w:adjustRightInd w:val="0"/>
        <w:spacing w:after="120" w:line="240" w:lineRule="auto"/>
        <w:textAlignment w:val="baseline"/>
      </w:pPr>
      <w:r w:rsidRPr="00454656">
        <w:t>Massgebende Daten aus dem für das Abrechnungsjahr relevanten Leistungsvertrag</w:t>
      </w:r>
    </w:p>
    <w:p w:rsidR="002538C0" w:rsidRPr="00454656" w:rsidRDefault="002538C0" w:rsidP="002538C0">
      <w:pPr>
        <w:pStyle w:val="Listenabsatz"/>
        <w:numPr>
          <w:ilvl w:val="0"/>
          <w:numId w:val="27"/>
        </w:numPr>
        <w:tabs>
          <w:tab w:val="left" w:pos="426"/>
        </w:tabs>
        <w:overflowPunct w:val="0"/>
        <w:autoSpaceDE w:val="0"/>
        <w:autoSpaceDN w:val="0"/>
        <w:adjustRightInd w:val="0"/>
        <w:spacing w:after="120" w:line="240" w:lineRule="auto"/>
        <w:textAlignment w:val="baseline"/>
      </w:pPr>
      <w:r w:rsidRPr="00454656">
        <w:t>Allfällig erhaltene Akontozahlung</w:t>
      </w:r>
    </w:p>
    <w:p w:rsidR="002538C0" w:rsidRPr="00454656" w:rsidRDefault="002538C0" w:rsidP="002538C0">
      <w:pPr>
        <w:spacing w:after="120"/>
      </w:pPr>
      <w:r w:rsidRPr="00454656">
        <w:t>Diese Angaben bilden neben den beiden Leistungsnachweistabellen die Basis für die Abrechnung der einzelnen Quartale.</w:t>
      </w:r>
    </w:p>
    <w:p w:rsidR="002538C0" w:rsidRPr="00454656" w:rsidRDefault="002538C0" w:rsidP="002538C0">
      <w:pPr>
        <w:spacing w:after="120"/>
      </w:pPr>
      <w:r w:rsidRPr="00454656">
        <w:t>In der Tabelle Basisdaten wird die Obergrenze berechnet, welche für die Abrechnung des 4. Quartals relevant ist.</w:t>
      </w:r>
    </w:p>
    <w:p w:rsidR="002538C0" w:rsidRPr="00454656" w:rsidRDefault="00BD600D" w:rsidP="00F91D0E">
      <w:pPr>
        <w:pStyle w:val="berschrift2nummeriert"/>
        <w:spacing w:before="360"/>
      </w:pPr>
      <w:r w:rsidRPr="00454656">
        <w:t>«</w:t>
      </w:r>
      <w:r w:rsidR="002538C0" w:rsidRPr="00454656">
        <w:t>Weitere Basisdaten</w:t>
      </w:r>
      <w:r w:rsidRPr="00454656">
        <w:t>»</w:t>
      </w:r>
    </w:p>
    <w:p w:rsidR="002538C0" w:rsidRPr="00454656" w:rsidRDefault="002538C0" w:rsidP="002538C0">
      <w:r w:rsidRPr="00454656">
        <w:t>In dieser Tabelle sind die Anzahl Personen pro Angebot und Kategorie, welche per Ende Jahr in der Institution leben zu erfassen.</w:t>
      </w:r>
    </w:p>
    <w:p w:rsidR="002538C0" w:rsidRPr="00454656" w:rsidRDefault="00BD600D" w:rsidP="00F91D0E">
      <w:pPr>
        <w:pStyle w:val="berschrift2nummeriert"/>
        <w:spacing w:before="360"/>
      </w:pPr>
      <w:r w:rsidRPr="00454656">
        <w:t>«</w:t>
      </w:r>
      <w:r w:rsidR="002538C0" w:rsidRPr="00454656">
        <w:t>Leistungsnachwei</w:t>
      </w:r>
      <w:r w:rsidRPr="00454656">
        <w:t>s BE - IV-Rentner, Selbstzahler</w:t>
      </w:r>
      <w:r w:rsidR="00C76A36" w:rsidRPr="00454656">
        <w:t>, KESB mit IV-Rente</w:t>
      </w:r>
      <w:r w:rsidRPr="00454656">
        <w:t>»</w:t>
      </w:r>
    </w:p>
    <w:p w:rsidR="002538C0" w:rsidRPr="00454656" w:rsidRDefault="002538C0" w:rsidP="002538C0">
      <w:pPr>
        <w:spacing w:after="240"/>
      </w:pPr>
      <w:r w:rsidRPr="00454656">
        <w:t>In dieser Tabelle sind die Aufenthalts- resp. Präsenztage sowie die Stunden (ambulante Betreuung) pro Klient/in, Quartal und Angebot zu erfassen. Bei einem Kategorienwechsel (bei Selbstzahlern auch bei einer Veränderung der ROES-Einstufung) muss die Klientin resp. der Klient ein weiteres Mal in der Tabelle erfasst werden.</w:t>
      </w:r>
    </w:p>
    <w:p w:rsidR="002538C0" w:rsidRPr="00454656" w:rsidRDefault="002538C0" w:rsidP="002538C0">
      <w:pPr>
        <w:spacing w:after="240"/>
        <w:rPr>
          <w:b/>
        </w:rPr>
      </w:pPr>
      <w:r w:rsidRPr="00454656">
        <w:t xml:space="preserve">In der Spalte </w:t>
      </w:r>
      <w:r w:rsidR="00DD30B8">
        <w:t>«</w:t>
      </w:r>
      <w:r w:rsidRPr="00454656">
        <w:t>Extern beschäftigt</w:t>
      </w:r>
      <w:r w:rsidR="00DD30B8">
        <w:t>»</w:t>
      </w:r>
      <w:r w:rsidRPr="00454656">
        <w:t xml:space="preserve"> ist anzugeben, ob ein Klient resp. eine Klientin beim Angebot Wohnen mit Beschäftigung extern (in einer anderen Institution) beschäftigt wird oder nicht. Bitte geben Sie uns im Begleitschreiben zur Abrechnung bekannt, wo die Klienten extern beschäftigt werden.</w:t>
      </w:r>
    </w:p>
    <w:p w:rsidR="002538C0" w:rsidRPr="00454656" w:rsidRDefault="002538C0" w:rsidP="002538C0">
      <w:pPr>
        <w:spacing w:after="120"/>
      </w:pPr>
      <w:r w:rsidRPr="00454656">
        <w:t xml:space="preserve">Die Spalten </w:t>
      </w:r>
      <w:r w:rsidR="00DD30B8">
        <w:t>«</w:t>
      </w:r>
      <w:r w:rsidRPr="00454656">
        <w:t>Eintritt</w:t>
      </w:r>
      <w:r w:rsidR="00DD30B8">
        <w:t>»</w:t>
      </w:r>
      <w:r w:rsidRPr="00454656">
        <w:t xml:space="preserve"> und </w:t>
      </w:r>
      <w:r w:rsidR="00DD30B8">
        <w:t>«</w:t>
      </w:r>
      <w:r w:rsidRPr="00454656">
        <w:t>Austritt</w:t>
      </w:r>
      <w:r w:rsidR="00DD30B8">
        <w:t>»</w:t>
      </w:r>
      <w:r w:rsidRPr="00454656">
        <w:t xml:space="preserve"> sind bei unterjährigen Ein- und Austritten zwingend auszufüllen.</w:t>
      </w:r>
    </w:p>
    <w:p w:rsidR="002538C0" w:rsidRPr="00454656" w:rsidRDefault="002538C0" w:rsidP="002538C0">
      <w:pPr>
        <w:spacing w:after="120"/>
      </w:pPr>
      <w:r w:rsidRPr="00454656">
        <w:t>Spital-/Klinikaufenthalte von Klienten/innen sind in einer separaten Zeile mit der entsprechenden Kategorie zu erfassen.</w:t>
      </w:r>
    </w:p>
    <w:p w:rsidR="002538C0" w:rsidRPr="00454656" w:rsidRDefault="002538C0" w:rsidP="002538C0">
      <w:pPr>
        <w:spacing w:after="240"/>
      </w:pPr>
      <w:r w:rsidRPr="00454656">
        <w:lastRenderedPageBreak/>
        <w:t xml:space="preserve">Unterhalb der Zusammenfassung der effektiv geleisteten Betreuungstage finden Sie eine Zeile </w:t>
      </w:r>
      <w:r w:rsidR="00DD30B8">
        <w:t>«</w:t>
      </w:r>
      <w:r w:rsidRPr="00454656">
        <w:t>Verrechnet</w:t>
      </w:r>
      <w:r w:rsidR="00DD30B8">
        <w:t>»</w:t>
      </w:r>
      <w:r w:rsidRPr="00454656">
        <w:t xml:space="preserve">, welche grau hinterlegt ist. Darin wird pro Quartal und Angebot die Summe der fakturierten Tarife ausgewiesen. Nicht mit einberechnet, sind die Erträge aus den Kategorien </w:t>
      </w:r>
      <w:r w:rsidR="00DD30B8">
        <w:t>«</w:t>
      </w:r>
      <w:r w:rsidRPr="00454656">
        <w:t>Finanzierung Sozialdienst</w:t>
      </w:r>
      <w:r w:rsidR="00DD30B8">
        <w:t>»</w:t>
      </w:r>
      <w:r w:rsidRPr="00454656">
        <w:t xml:space="preserve">, </w:t>
      </w:r>
      <w:r w:rsidR="00DD30B8">
        <w:t>«</w:t>
      </w:r>
      <w:r w:rsidRPr="00454656">
        <w:t>Finanzierung KESB</w:t>
      </w:r>
      <w:r w:rsidR="00C76A36" w:rsidRPr="00454656">
        <w:t xml:space="preserve"> ohne IV-Rente</w:t>
      </w:r>
      <w:r w:rsidR="00DD30B8">
        <w:t>»</w:t>
      </w:r>
      <w:r w:rsidRPr="00454656">
        <w:t xml:space="preserve"> und </w:t>
      </w:r>
      <w:r w:rsidR="00DD30B8">
        <w:t>«</w:t>
      </w:r>
      <w:r w:rsidRPr="00454656">
        <w:t>Straf- und Massnahmenvollzug</w:t>
      </w:r>
      <w:r w:rsidR="00DD30B8">
        <w:t>»</w:t>
      </w:r>
      <w:r w:rsidRPr="00454656">
        <w:t xml:space="preserve">. Das Total der Zeile </w:t>
      </w:r>
      <w:r w:rsidR="00DD30B8">
        <w:t>«</w:t>
      </w:r>
      <w:r w:rsidRPr="00454656">
        <w:t>Verrechnet</w:t>
      </w:r>
      <w:r w:rsidR="00DD30B8">
        <w:t>»</w:t>
      </w:r>
      <w:r w:rsidRPr="00454656">
        <w:t xml:space="preserve"> - wird pro Angebot automatisch in die Tabellen </w:t>
      </w:r>
      <w:r w:rsidR="00DD30B8">
        <w:t>«</w:t>
      </w:r>
      <w:r w:rsidRPr="00454656">
        <w:t>Abrechnung 1. bis 3. Quartal</w:t>
      </w:r>
      <w:r w:rsidR="00DD30B8">
        <w:t>»</w:t>
      </w:r>
      <w:r w:rsidRPr="00454656">
        <w:t xml:space="preserve"> und </w:t>
      </w:r>
      <w:r w:rsidR="00DD30B8">
        <w:t>«</w:t>
      </w:r>
      <w:r w:rsidR="003D0B62" w:rsidRPr="00454656">
        <w:t>Schlussabrechnung 4.Q.</w:t>
      </w:r>
      <w:r w:rsidR="00DD30B8">
        <w:t>»</w:t>
      </w:r>
      <w:r w:rsidR="00B74B4F" w:rsidRPr="00454656">
        <w:t xml:space="preserve"> übertragen.</w:t>
      </w:r>
    </w:p>
    <w:p w:rsidR="002538C0" w:rsidRPr="00454656" w:rsidRDefault="002538C0" w:rsidP="00B74B4F">
      <w:pPr>
        <w:spacing w:after="240"/>
      </w:pPr>
      <w:r w:rsidRPr="00454656">
        <w:t xml:space="preserve">Im Angebot </w:t>
      </w:r>
      <w:r w:rsidR="00DD30B8">
        <w:t>«</w:t>
      </w:r>
      <w:r w:rsidRPr="00454656">
        <w:t>Tagesstätte/Beschäftigung</w:t>
      </w:r>
      <w:r w:rsidR="00DD30B8">
        <w:t>»</w:t>
      </w:r>
      <w:r w:rsidRPr="00454656">
        <w:t xml:space="preserve"> können halbe Tage erfasst werden.</w:t>
      </w:r>
    </w:p>
    <w:p w:rsidR="002538C0" w:rsidRPr="00454656" w:rsidRDefault="002538C0" w:rsidP="002538C0">
      <w:pPr>
        <w:spacing w:after="240"/>
      </w:pPr>
      <w:r w:rsidRPr="00454656">
        <w:rPr>
          <w:rFonts w:cs="Arial"/>
        </w:rPr>
        <w:t xml:space="preserve">Im Angebot </w:t>
      </w:r>
      <w:r w:rsidR="00DD30B8">
        <w:rPr>
          <w:rFonts w:cs="Arial"/>
        </w:rPr>
        <w:t>«</w:t>
      </w:r>
      <w:r w:rsidRPr="00454656">
        <w:rPr>
          <w:rFonts w:cs="Arial"/>
        </w:rPr>
        <w:t>Ambulante Betreuung</w:t>
      </w:r>
      <w:r w:rsidR="00DD30B8">
        <w:rPr>
          <w:rFonts w:cs="Arial"/>
        </w:rPr>
        <w:t>»</w:t>
      </w:r>
      <w:r w:rsidRPr="00454656">
        <w:rPr>
          <w:rFonts w:cs="Arial"/>
        </w:rPr>
        <w:t xml:space="preserve"> sind die Betreuungsstunden in Dezimalstellen</w:t>
      </w:r>
      <w:r w:rsidRPr="00454656">
        <w:rPr>
          <w:rStyle w:val="Funotenzeichen"/>
          <w:rFonts w:cs="Arial"/>
        </w:rPr>
        <w:footnoteReference w:id="2"/>
      </w:r>
      <w:r w:rsidRPr="00454656">
        <w:rPr>
          <w:rFonts w:cs="Arial"/>
        </w:rPr>
        <w:t xml:space="preserve"> anzugeben, damit der Betriebsbeitrag korrekt berechnet wird. Die Angaben sind in Einheiten von einer Viertelstunde genau zu rapportieren.</w:t>
      </w:r>
      <w:r w:rsidRPr="00454656">
        <w:t xml:space="preserve"> Angebrochene 15 Minuten werden angerechnet.</w:t>
      </w:r>
    </w:p>
    <w:p w:rsidR="002538C0" w:rsidRPr="00454656" w:rsidRDefault="002538C0" w:rsidP="002538C0">
      <w:pPr>
        <w:shd w:val="clear" w:color="auto" w:fill="D9D9D9" w:themeFill="background1" w:themeFillShade="D9"/>
        <w:tabs>
          <w:tab w:val="left" w:pos="1418"/>
        </w:tabs>
        <w:spacing w:after="120"/>
        <w:ind w:left="1418" w:hanging="1418"/>
      </w:pPr>
      <w:r w:rsidRPr="00454656">
        <w:rPr>
          <w:b/>
        </w:rPr>
        <w:t>ACHTUNG:</w:t>
      </w:r>
      <w:r w:rsidRPr="00454656">
        <w:tab/>
        <w:t>Bei nachträglichen Korrekturen von Aufenthalts- resp. Präsenztagen in bereits abgerechneten Quartalen, sind diese im aktuellen Quartal pro Klient/in auf einer separaten Zeile zu erfassen. Bei Korrekturen, welche ein abgerechnetes Jahr betreffen, ist mit der zuständigen Finanzperson Kontakt aufzunehmen.</w:t>
      </w:r>
    </w:p>
    <w:p w:rsidR="002538C0" w:rsidRPr="00454656" w:rsidRDefault="00BD600D" w:rsidP="00F91D0E">
      <w:pPr>
        <w:pStyle w:val="berschrift2nummeriert"/>
        <w:spacing w:before="360"/>
      </w:pPr>
      <w:r w:rsidRPr="00454656">
        <w:t>«</w:t>
      </w:r>
      <w:r w:rsidR="002538C0" w:rsidRPr="00454656">
        <w:t>Leistungsnachwe</w:t>
      </w:r>
      <w:r w:rsidRPr="00454656">
        <w:t>is BE - SOZ, KESB</w:t>
      </w:r>
      <w:r w:rsidR="00E76B17" w:rsidRPr="00454656">
        <w:t xml:space="preserve"> ohne IV-Rente</w:t>
      </w:r>
      <w:r w:rsidR="008A245D" w:rsidRPr="00454656">
        <w:t>, SID</w:t>
      </w:r>
      <w:r w:rsidRPr="00454656">
        <w:t>»</w:t>
      </w:r>
    </w:p>
    <w:p w:rsidR="002538C0" w:rsidRPr="00454656" w:rsidRDefault="002538C0" w:rsidP="002538C0">
      <w:pPr>
        <w:spacing w:after="240"/>
        <w:rPr>
          <w:rFonts w:cs="Arial"/>
        </w:rPr>
      </w:pPr>
      <w:r w:rsidRPr="00454656">
        <w:rPr>
          <w:rFonts w:cs="Arial"/>
        </w:rPr>
        <w:t>In dieser Tabelle sind zwingend die Aufenthalts- resp. Präsenztage sowie die Stunden (ambulante Betreuung) pro Klient/in, Quartal und Angebot zu erfassen. Eine korrekte Berechnung einer allfälligen Überschreitung der definierten Grenzen wäre sonst nicht möglich.</w:t>
      </w:r>
    </w:p>
    <w:p w:rsidR="002538C0" w:rsidRPr="00454656" w:rsidRDefault="002538C0" w:rsidP="002538C0">
      <w:pPr>
        <w:spacing w:after="240"/>
        <w:rPr>
          <w:rFonts w:cs="Arial"/>
        </w:rPr>
      </w:pPr>
      <w:r w:rsidRPr="00454656">
        <w:rPr>
          <w:rFonts w:cs="Arial"/>
        </w:rPr>
        <w:t>Die angegebenen Aufenthaltstage werden für die Berechnung des Kapitalkostenanteils automa</w:t>
      </w:r>
      <w:r w:rsidRPr="00454656">
        <w:rPr>
          <w:rFonts w:cs="Arial"/>
        </w:rPr>
        <w:softHyphen/>
        <w:t xml:space="preserve">tisch in Kalendertage umgerechnet. Die Spalten </w:t>
      </w:r>
      <w:r w:rsidR="00DD30B8">
        <w:rPr>
          <w:rFonts w:cs="Arial"/>
        </w:rPr>
        <w:t>«</w:t>
      </w:r>
      <w:r w:rsidRPr="00454656">
        <w:rPr>
          <w:rFonts w:cs="Arial"/>
        </w:rPr>
        <w:t>Eintritt</w:t>
      </w:r>
      <w:r w:rsidR="00DD30B8">
        <w:rPr>
          <w:rFonts w:cs="Arial"/>
        </w:rPr>
        <w:t>»</w:t>
      </w:r>
      <w:r w:rsidRPr="00454656">
        <w:rPr>
          <w:rFonts w:cs="Arial"/>
        </w:rPr>
        <w:t xml:space="preserve"> und </w:t>
      </w:r>
      <w:r w:rsidR="00DD30B8">
        <w:rPr>
          <w:rFonts w:cs="Arial"/>
        </w:rPr>
        <w:t>«</w:t>
      </w:r>
      <w:r w:rsidRPr="00454656">
        <w:rPr>
          <w:rFonts w:cs="Arial"/>
        </w:rPr>
        <w:t>Austritt</w:t>
      </w:r>
      <w:r w:rsidR="00DD30B8">
        <w:rPr>
          <w:rFonts w:cs="Arial"/>
        </w:rPr>
        <w:t>»</w:t>
      </w:r>
      <w:r w:rsidRPr="00454656">
        <w:rPr>
          <w:rFonts w:cs="Arial"/>
        </w:rPr>
        <w:t xml:space="preserve"> sind bei unterjährigen Ein- und Austritten zwingend auszufüllen.</w:t>
      </w:r>
    </w:p>
    <w:p w:rsidR="002538C0" w:rsidRPr="00454656" w:rsidRDefault="002538C0" w:rsidP="002538C0">
      <w:pPr>
        <w:spacing w:after="240"/>
        <w:rPr>
          <w:rFonts w:cs="Arial"/>
        </w:rPr>
      </w:pPr>
      <w:r w:rsidRPr="00454656">
        <w:rPr>
          <w:rFonts w:cs="Arial"/>
        </w:rPr>
        <w:t>Diese Tabelle muss erst im Rahmen der Abrechnung des 4. Quartals ausgefüllt werden.</w:t>
      </w:r>
    </w:p>
    <w:p w:rsidR="002538C0" w:rsidRPr="00454656" w:rsidRDefault="00BD600D" w:rsidP="00F91D0E">
      <w:pPr>
        <w:pStyle w:val="berschrift2nummeriert"/>
        <w:spacing w:before="360"/>
      </w:pPr>
      <w:r w:rsidRPr="00454656">
        <w:t>«Leistungsnachweis nicht BE»</w:t>
      </w:r>
    </w:p>
    <w:p w:rsidR="002538C0" w:rsidRPr="00454656" w:rsidRDefault="002538C0" w:rsidP="002538C0">
      <w:pPr>
        <w:spacing w:after="120"/>
        <w:ind w:firstLine="1"/>
      </w:pPr>
      <w:r w:rsidRPr="00454656">
        <w:t xml:space="preserve">In der Tabelle </w:t>
      </w:r>
      <w:r w:rsidR="00DD30B8">
        <w:t>«</w:t>
      </w:r>
      <w:r w:rsidRPr="00454656">
        <w:t>Leistungsnachweis nicht BE</w:t>
      </w:r>
      <w:r w:rsidR="00DD30B8">
        <w:t>»</w:t>
      </w:r>
      <w:r w:rsidRPr="00454656">
        <w:t xml:space="preserve"> sind zwingend die Aufenthalts- resp. Präsenztage der ausserkantonalen Klienten/innen zu erfassen. Eine korrekte Be</w:t>
      </w:r>
      <w:r w:rsidR="006E559E" w:rsidRPr="00454656">
        <w:t>rechnung einer allfälligen Über</w:t>
      </w:r>
      <w:r w:rsidRPr="00454656">
        <w:t>schreitung der definierten Grenzen wäre sonst nicht möglich.</w:t>
      </w:r>
    </w:p>
    <w:p w:rsidR="002538C0" w:rsidRPr="00454656" w:rsidRDefault="002538C0" w:rsidP="002538C0">
      <w:pPr>
        <w:spacing w:after="120"/>
      </w:pPr>
      <w:r w:rsidRPr="00454656">
        <w:t xml:space="preserve">Die angegebenen Aufenthaltstage werden für die Berechnung </w:t>
      </w:r>
      <w:r w:rsidR="006E559E" w:rsidRPr="00454656">
        <w:t>des Kapitalkostenanteils automa</w:t>
      </w:r>
      <w:r w:rsidRPr="00454656">
        <w:t xml:space="preserve">tisch in Kalendertage umgerechnet. Die Spalten </w:t>
      </w:r>
      <w:r w:rsidR="00DD30B8">
        <w:t>«</w:t>
      </w:r>
      <w:r w:rsidRPr="00454656">
        <w:t>Eintritt</w:t>
      </w:r>
      <w:r w:rsidR="00DD30B8">
        <w:t>»</w:t>
      </w:r>
      <w:r w:rsidRPr="00454656">
        <w:t xml:space="preserve"> und </w:t>
      </w:r>
      <w:r w:rsidR="00DD30B8">
        <w:t>«</w:t>
      </w:r>
      <w:r w:rsidRPr="00454656">
        <w:t>Austritt</w:t>
      </w:r>
      <w:r w:rsidR="00DD30B8">
        <w:t>»</w:t>
      </w:r>
      <w:r w:rsidRPr="00454656">
        <w:t xml:space="preserve"> sind bei unterjährigen Ein- und Austritten zwingend auszufüllen.</w:t>
      </w:r>
    </w:p>
    <w:p w:rsidR="002538C0" w:rsidRPr="00454656" w:rsidRDefault="002538C0" w:rsidP="002538C0">
      <w:pPr>
        <w:tabs>
          <w:tab w:val="left" w:pos="426"/>
        </w:tabs>
        <w:spacing w:after="120"/>
        <w:ind w:left="425" w:hanging="425"/>
      </w:pPr>
      <w:r w:rsidRPr="00454656">
        <w:t>Diese Tabelle muss erst im Rahmen der Abrechnung des 4. Quartals ausgefüllt werden.</w:t>
      </w:r>
    </w:p>
    <w:p w:rsidR="002538C0" w:rsidRPr="00454656" w:rsidRDefault="00BD600D" w:rsidP="00F91D0E">
      <w:pPr>
        <w:pStyle w:val="berschrift2nummeriert"/>
        <w:spacing w:before="360"/>
      </w:pPr>
      <w:r w:rsidRPr="00454656">
        <w:t>«</w:t>
      </w:r>
      <w:r w:rsidR="002538C0" w:rsidRPr="00454656">
        <w:t>Abrechnung 1. bis</w:t>
      </w:r>
      <w:r w:rsidRPr="00454656">
        <w:t xml:space="preserve"> 3. Quartal»</w:t>
      </w:r>
    </w:p>
    <w:p w:rsidR="002538C0" w:rsidRPr="00454656" w:rsidRDefault="002538C0" w:rsidP="00F91D0E">
      <w:pPr>
        <w:pStyle w:val="berschrift3nummeriert"/>
        <w:spacing w:before="360"/>
      </w:pPr>
      <w:r w:rsidRPr="00454656">
        <w:t>Berechnung der Nettobetriebskosten pro Angebot</w:t>
      </w:r>
    </w:p>
    <w:p w:rsidR="002538C0" w:rsidRPr="00454656" w:rsidRDefault="002538C0" w:rsidP="002538C0">
      <w:pPr>
        <w:spacing w:after="120"/>
      </w:pPr>
      <w:r w:rsidRPr="00454656">
        <w:t>Alle geleisteten und anrechenbaren Aufenthalts- resp. Präsenztage sowie Stunden (ambulante Betreuung) pro Quartal und Angebot werden automatisch in die entsprechende Quartalsabrechnung dieser Tabelle übertragen und mit dem errechneten Leistungspreis multipliziert.</w:t>
      </w:r>
    </w:p>
    <w:p w:rsidR="002538C0" w:rsidRPr="00454656" w:rsidRDefault="002538C0" w:rsidP="00F91D0E">
      <w:pPr>
        <w:pStyle w:val="berschrift3nummeriert"/>
        <w:spacing w:before="360"/>
      </w:pPr>
      <w:r w:rsidRPr="00454656">
        <w:lastRenderedPageBreak/>
        <w:t>Abzüge</w:t>
      </w:r>
    </w:p>
    <w:p w:rsidR="002538C0" w:rsidRPr="00454656" w:rsidRDefault="002538C0" w:rsidP="002538C0">
      <w:pPr>
        <w:spacing w:after="120"/>
      </w:pPr>
      <w:r w:rsidRPr="00454656">
        <w:rPr>
          <w:rFonts w:cs="Arial"/>
          <w:szCs w:val="26"/>
        </w:rPr>
        <w:t>Die pro Quartal und Angebot erzielten Tariferträge der anrechenbaren Klientenkategorien werden</w:t>
      </w:r>
      <w:r w:rsidRPr="00454656">
        <w:t xml:space="preserve"> automatisch von der Tabelle </w:t>
      </w:r>
      <w:r w:rsidR="00DD30B8">
        <w:t>«</w:t>
      </w:r>
      <w:r w:rsidRPr="00454656">
        <w:t>Leistungsnachweis BE</w:t>
      </w:r>
      <w:r w:rsidR="00DD30B8">
        <w:t>»</w:t>
      </w:r>
      <w:r w:rsidRPr="00454656">
        <w:t xml:space="preserve"> (Zeile </w:t>
      </w:r>
      <w:r w:rsidR="00DD30B8">
        <w:t>«</w:t>
      </w:r>
      <w:r w:rsidRPr="00454656">
        <w:t>Verrechnet</w:t>
      </w:r>
      <w:r w:rsidR="00DD30B8">
        <w:t>»</w:t>
      </w:r>
      <w:r w:rsidRPr="00454656">
        <w:t xml:space="preserve">) übertragen. Die verrechneten Reservationstarife, die Rückerstattungen aus Mahlzeiten und Hilflosenentschädigung, die Erträge aus Schnupperaufenthalten sowie allfällige Korrekturen aus den Vorquartalen sind separat zu erfassen. Wir empfehlen Ihnen, die Erträge pro Quartal mit den entsprechenden Ertragskonti in der Buchhaltung abzustimmen. </w:t>
      </w:r>
    </w:p>
    <w:p w:rsidR="002538C0" w:rsidRPr="00454656" w:rsidRDefault="002538C0" w:rsidP="002538C0">
      <w:pPr>
        <w:spacing w:after="120"/>
      </w:pPr>
      <w:r w:rsidRPr="00454656">
        <w:t>Die bei krankheitsbedingten Abwesenheiten ohne Arztzeugnis beim Tagesstättenangebot verrechneten Tarife sind pro Quartal in der entsprechenden Zeile zu berücksichtigen.</w:t>
      </w:r>
    </w:p>
    <w:p w:rsidR="002538C0" w:rsidRPr="00454656" w:rsidRDefault="00BD600D" w:rsidP="00F91D0E">
      <w:pPr>
        <w:pStyle w:val="berschrift2nummeriert"/>
        <w:spacing w:before="360"/>
      </w:pPr>
      <w:r w:rsidRPr="00454656">
        <w:t>«</w:t>
      </w:r>
      <w:r w:rsidR="002538C0" w:rsidRPr="00454656">
        <w:t>Schlussabrechnung / 4. Quartal</w:t>
      </w:r>
      <w:r w:rsidRPr="00454656">
        <w:t>»</w:t>
      </w:r>
    </w:p>
    <w:p w:rsidR="002538C0" w:rsidRPr="00454656" w:rsidRDefault="002538C0" w:rsidP="002538C0">
      <w:pPr>
        <w:spacing w:after="120"/>
      </w:pPr>
      <w:r w:rsidRPr="00454656">
        <w:t>Diese Tabelle entspricht der Schlussabrechnung unter Berücksichtigung:</w:t>
      </w:r>
    </w:p>
    <w:p w:rsidR="002538C0" w:rsidRPr="00454656" w:rsidRDefault="002538C0" w:rsidP="002538C0">
      <w:pPr>
        <w:pStyle w:val="Listenabsatz"/>
        <w:numPr>
          <w:ilvl w:val="0"/>
          <w:numId w:val="32"/>
        </w:numPr>
        <w:overflowPunct w:val="0"/>
        <w:autoSpaceDE w:val="0"/>
        <w:autoSpaceDN w:val="0"/>
        <w:adjustRightInd w:val="0"/>
        <w:spacing w:after="120" w:line="240" w:lineRule="auto"/>
        <w:textAlignment w:val="baseline"/>
      </w:pPr>
      <w:r w:rsidRPr="00454656">
        <w:t>Des noch nicht abgerechneten 4. Quartals,</w:t>
      </w:r>
    </w:p>
    <w:p w:rsidR="002538C0" w:rsidRPr="00454656" w:rsidRDefault="002538C0" w:rsidP="002538C0">
      <w:pPr>
        <w:pStyle w:val="Listenabsatz"/>
        <w:numPr>
          <w:ilvl w:val="0"/>
          <w:numId w:val="32"/>
        </w:numPr>
        <w:overflowPunct w:val="0"/>
        <w:autoSpaceDE w:val="0"/>
        <w:autoSpaceDN w:val="0"/>
        <w:adjustRightInd w:val="0"/>
        <w:spacing w:after="120" w:line="240" w:lineRule="auto"/>
        <w:textAlignment w:val="baseline"/>
      </w:pPr>
      <w:r w:rsidRPr="00454656">
        <w:t>Der abgerechneten Quartale 1 bis 3</w:t>
      </w:r>
    </w:p>
    <w:p w:rsidR="002538C0" w:rsidRPr="00454656" w:rsidRDefault="002538C0" w:rsidP="002538C0">
      <w:pPr>
        <w:pStyle w:val="Listenabsatz"/>
        <w:numPr>
          <w:ilvl w:val="0"/>
          <w:numId w:val="32"/>
        </w:numPr>
        <w:overflowPunct w:val="0"/>
        <w:autoSpaceDE w:val="0"/>
        <w:autoSpaceDN w:val="0"/>
        <w:adjustRightInd w:val="0"/>
        <w:spacing w:after="120" w:line="240" w:lineRule="auto"/>
        <w:textAlignment w:val="baseline"/>
      </w:pPr>
      <w:r w:rsidRPr="00454656">
        <w:t>Der allfällig erfolgten Akontozahlung</w:t>
      </w:r>
    </w:p>
    <w:p w:rsidR="002538C0" w:rsidRPr="00454656" w:rsidRDefault="002538C0" w:rsidP="002538C0">
      <w:pPr>
        <w:pStyle w:val="Listenabsatz"/>
        <w:numPr>
          <w:ilvl w:val="0"/>
          <w:numId w:val="32"/>
        </w:numPr>
        <w:overflowPunct w:val="0"/>
        <w:autoSpaceDE w:val="0"/>
        <w:autoSpaceDN w:val="0"/>
        <w:adjustRightInd w:val="0"/>
        <w:spacing w:after="120" w:line="240" w:lineRule="auto"/>
        <w:textAlignment w:val="baseline"/>
      </w:pPr>
      <w:r w:rsidRPr="00454656">
        <w:t>Sowie des Kapitalkostenanteils der Ausserkantonalen.</w:t>
      </w:r>
    </w:p>
    <w:p w:rsidR="002538C0" w:rsidRPr="00454656" w:rsidRDefault="002538C0" w:rsidP="002538C0">
      <w:pPr>
        <w:spacing w:after="360"/>
        <w:ind w:left="62"/>
      </w:pPr>
      <w:r w:rsidRPr="00454656">
        <w:t>Die Schlusszahlung resp. Rückforderung wird wie folgt berechnet (grösstenteils automatisch).</w:t>
      </w:r>
    </w:p>
    <w:p w:rsidR="002538C0" w:rsidRPr="00454656" w:rsidRDefault="002538C0" w:rsidP="002538C0">
      <w:pPr>
        <w:pStyle w:val="Listenabsatz"/>
        <w:numPr>
          <w:ilvl w:val="0"/>
          <w:numId w:val="30"/>
        </w:numPr>
        <w:tabs>
          <w:tab w:val="left" w:pos="284"/>
          <w:tab w:val="left" w:pos="1134"/>
        </w:tabs>
        <w:overflowPunct w:val="0"/>
        <w:autoSpaceDE w:val="0"/>
        <w:autoSpaceDN w:val="0"/>
        <w:adjustRightInd w:val="0"/>
        <w:spacing w:after="120" w:line="240" w:lineRule="auto"/>
        <w:ind w:hanging="720"/>
        <w:textAlignment w:val="baseline"/>
        <w:rPr>
          <w:b/>
        </w:rPr>
      </w:pPr>
      <w:r w:rsidRPr="00454656">
        <w:rPr>
          <w:b/>
        </w:rPr>
        <w:t>Schritt:</w:t>
      </w:r>
      <w:r w:rsidRPr="00454656">
        <w:rPr>
          <w:b/>
        </w:rPr>
        <w:tab/>
        <w:t>Berechnung der relevanten Nettobetriebskosten pro Angebot</w:t>
      </w:r>
    </w:p>
    <w:p w:rsidR="002538C0" w:rsidRPr="00454656" w:rsidRDefault="002538C0" w:rsidP="002538C0">
      <w:pPr>
        <w:spacing w:after="120"/>
      </w:pPr>
      <w:r w:rsidRPr="00454656">
        <w:t>Für die Bestimmung der relevanten Nettobetriebskosten werden automatisch folgende Werte ermittelt:</w:t>
      </w:r>
    </w:p>
    <w:p w:rsidR="002538C0" w:rsidRPr="00454656" w:rsidRDefault="002538C0" w:rsidP="002538C0">
      <w:pPr>
        <w:pStyle w:val="Listenabsatz"/>
        <w:numPr>
          <w:ilvl w:val="0"/>
          <w:numId w:val="29"/>
        </w:numPr>
        <w:overflowPunct w:val="0"/>
        <w:autoSpaceDE w:val="0"/>
        <w:autoSpaceDN w:val="0"/>
        <w:adjustRightInd w:val="0"/>
        <w:spacing w:after="240" w:line="240" w:lineRule="auto"/>
        <w:textAlignment w:val="baseline"/>
      </w:pPr>
      <w:r w:rsidRPr="00454656">
        <w:t>Maximale Nettobetriebskosten (Obergrenze multipliziert mit dem entsprechenden Leistungspreis)</w:t>
      </w:r>
    </w:p>
    <w:p w:rsidR="002538C0" w:rsidRPr="00454656" w:rsidRDefault="002538C0" w:rsidP="002538C0">
      <w:pPr>
        <w:pStyle w:val="Listenabsatz"/>
        <w:numPr>
          <w:ilvl w:val="0"/>
          <w:numId w:val="29"/>
        </w:numPr>
        <w:overflowPunct w:val="0"/>
        <w:autoSpaceDE w:val="0"/>
        <w:autoSpaceDN w:val="0"/>
        <w:adjustRightInd w:val="0"/>
        <w:spacing w:after="120" w:line="240" w:lineRule="auto"/>
        <w:ind w:left="714" w:hanging="357"/>
        <w:textAlignment w:val="baseline"/>
      </w:pPr>
      <w:r w:rsidRPr="00454656">
        <w:t>Berechnete Nettobetriebskosten (effektiv geleistete Aufenthalts-/Präsenztage multipliziert mit dem entsprechenden Leistungspreis)</w:t>
      </w:r>
    </w:p>
    <w:p w:rsidR="002538C0" w:rsidRPr="00454656" w:rsidRDefault="002538C0" w:rsidP="002538C0">
      <w:pPr>
        <w:spacing w:after="360"/>
      </w:pPr>
      <w:r w:rsidRPr="00454656">
        <w:t>Der tiefere der beiden Werte wird als relevante Nettobetriebskostengrösse für die Abrechnung herangezogen.</w:t>
      </w:r>
    </w:p>
    <w:p w:rsidR="002538C0" w:rsidRPr="00454656" w:rsidRDefault="002538C0" w:rsidP="002538C0">
      <w:pPr>
        <w:pStyle w:val="Listenabsatz"/>
        <w:numPr>
          <w:ilvl w:val="0"/>
          <w:numId w:val="30"/>
        </w:numPr>
        <w:tabs>
          <w:tab w:val="left" w:pos="284"/>
          <w:tab w:val="left" w:pos="1134"/>
        </w:tabs>
        <w:overflowPunct w:val="0"/>
        <w:autoSpaceDE w:val="0"/>
        <w:autoSpaceDN w:val="0"/>
        <w:adjustRightInd w:val="0"/>
        <w:spacing w:after="120" w:line="240" w:lineRule="auto"/>
        <w:ind w:left="1134" w:hanging="1134"/>
        <w:textAlignment w:val="baseline"/>
        <w:rPr>
          <w:b/>
        </w:rPr>
      </w:pPr>
      <w:r w:rsidRPr="00454656">
        <w:rPr>
          <w:b/>
        </w:rPr>
        <w:t>Schritt:</w:t>
      </w:r>
      <w:r w:rsidRPr="00454656">
        <w:rPr>
          <w:b/>
        </w:rPr>
        <w:tab/>
        <w:t>Berechnung des Nettobetriebskostenanteils der anrechenbaren Klientenkategorien pro Angebot</w:t>
      </w:r>
    </w:p>
    <w:p w:rsidR="002538C0" w:rsidRPr="00454656" w:rsidRDefault="002538C0" w:rsidP="002538C0">
      <w:pPr>
        <w:spacing w:after="360"/>
      </w:pPr>
      <w:r w:rsidRPr="00454656">
        <w:t xml:space="preserve">Zur Berechnung des Nettobetriebskostenanteils der anrechenbaren Kategorien pro Angebot, werden die für diese Berechnung nicht relevanten Nettobetriebskosten der Kategorie </w:t>
      </w:r>
      <w:r w:rsidR="00DD30B8">
        <w:t>«</w:t>
      </w:r>
      <w:r w:rsidRPr="00454656">
        <w:t>Finanzierung Sozialdienst</w:t>
      </w:r>
      <w:r w:rsidR="00DD30B8">
        <w:t>»</w:t>
      </w:r>
      <w:r w:rsidRPr="00454656">
        <w:t xml:space="preserve">, </w:t>
      </w:r>
      <w:r w:rsidR="00DD30B8">
        <w:t>«</w:t>
      </w:r>
      <w:r w:rsidRPr="00454656">
        <w:t>Finanzierung KESB</w:t>
      </w:r>
      <w:r w:rsidR="00E76B17" w:rsidRPr="00454656">
        <w:t xml:space="preserve"> ohne IV-Rente</w:t>
      </w:r>
      <w:r w:rsidR="00DD30B8">
        <w:t>»</w:t>
      </w:r>
      <w:r w:rsidRPr="00454656">
        <w:t xml:space="preserve"> und </w:t>
      </w:r>
      <w:r w:rsidR="00DD30B8">
        <w:t>«</w:t>
      </w:r>
      <w:r w:rsidRPr="00454656">
        <w:t>Straf- und Massnahmenvollzug</w:t>
      </w:r>
      <w:r w:rsidR="00DD30B8">
        <w:t>»</w:t>
      </w:r>
      <w:r w:rsidRPr="00454656">
        <w:t xml:space="preserve"> und der Anteil </w:t>
      </w:r>
      <w:r w:rsidR="00DD30B8">
        <w:t>«</w:t>
      </w:r>
      <w:r w:rsidRPr="00454656">
        <w:t>Ausserkantonale</w:t>
      </w:r>
      <w:r w:rsidR="00DD30B8">
        <w:t>»</w:t>
      </w:r>
      <w:r w:rsidRPr="00454656">
        <w:t xml:space="preserve"> ausgeschieden.</w:t>
      </w:r>
    </w:p>
    <w:p w:rsidR="002538C0" w:rsidRPr="00454656" w:rsidRDefault="002538C0" w:rsidP="002538C0">
      <w:pPr>
        <w:pStyle w:val="Listenabsatz"/>
        <w:numPr>
          <w:ilvl w:val="0"/>
          <w:numId w:val="30"/>
        </w:numPr>
        <w:tabs>
          <w:tab w:val="left" w:pos="284"/>
          <w:tab w:val="left" w:pos="1134"/>
        </w:tabs>
        <w:overflowPunct w:val="0"/>
        <w:autoSpaceDE w:val="0"/>
        <w:autoSpaceDN w:val="0"/>
        <w:adjustRightInd w:val="0"/>
        <w:spacing w:after="120" w:line="240" w:lineRule="auto"/>
        <w:ind w:left="1134" w:hanging="1134"/>
        <w:textAlignment w:val="baseline"/>
        <w:rPr>
          <w:b/>
        </w:rPr>
      </w:pPr>
      <w:r w:rsidRPr="00454656">
        <w:rPr>
          <w:b/>
        </w:rPr>
        <w:t>Schritt:</w:t>
      </w:r>
      <w:r w:rsidRPr="00454656">
        <w:rPr>
          <w:b/>
        </w:rPr>
        <w:tab/>
        <w:t>Berechnung des totalen Betriebsbeitrages der anrechenbaren Klientenkategorien pro Angebot</w:t>
      </w:r>
    </w:p>
    <w:p w:rsidR="002538C0" w:rsidRPr="00454656" w:rsidRDefault="002538C0" w:rsidP="002538C0">
      <w:pPr>
        <w:spacing w:after="120"/>
      </w:pPr>
      <w:r w:rsidRPr="00454656">
        <w:t>Vom Nettobetriebskostenanteil der anrechenbaren Klientenkategorien pro Angebot werden die nachfolgenden Beträge in Abzug gebracht:</w:t>
      </w:r>
    </w:p>
    <w:p w:rsidR="002538C0" w:rsidRPr="00454656" w:rsidRDefault="002538C0" w:rsidP="002538C0">
      <w:pPr>
        <w:pStyle w:val="Listenabsatz"/>
        <w:numPr>
          <w:ilvl w:val="0"/>
          <w:numId w:val="31"/>
        </w:numPr>
        <w:overflowPunct w:val="0"/>
        <w:autoSpaceDE w:val="0"/>
        <w:autoSpaceDN w:val="0"/>
        <w:adjustRightInd w:val="0"/>
        <w:spacing w:after="240" w:line="240" w:lineRule="auto"/>
        <w:textAlignment w:val="baseline"/>
      </w:pPr>
      <w:r w:rsidRPr="00454656">
        <w:t xml:space="preserve">Erträge aus Leistungsabgeltung innerkantonal der anrechenbaren AT/PT des 4. Quartals werden automatisch aus der Tabelle </w:t>
      </w:r>
      <w:r w:rsidR="00DD30B8">
        <w:t>«</w:t>
      </w:r>
      <w:r w:rsidRPr="00454656">
        <w:t>Leistungsnachweis BE - IV-Rentner, Selbstzahler</w:t>
      </w:r>
      <w:r w:rsidR="00E76B17" w:rsidRPr="00454656">
        <w:t>, KESB mit IV-Rente</w:t>
      </w:r>
      <w:r w:rsidR="00DD30B8">
        <w:t>»</w:t>
      </w:r>
      <w:r w:rsidRPr="00454656">
        <w:t xml:space="preserve"> übertragen. Zusätzlich sind manuell die verrechneten Reservationstarife des 4. Quartals, die Rückerstattungen aus Mahlzeiten und allfälliger Hilflosenentschädigung des 4. Quartals, Erträge aus Schnupperaufenthalten des 4. Quartals und allfällige Korrekturen aus den Vorquartalen zu erfassen.</w:t>
      </w:r>
    </w:p>
    <w:p w:rsidR="002538C0" w:rsidRPr="00454656" w:rsidRDefault="002538C0" w:rsidP="002538C0">
      <w:pPr>
        <w:pStyle w:val="Listenabsatz"/>
        <w:numPr>
          <w:ilvl w:val="0"/>
          <w:numId w:val="31"/>
        </w:numPr>
        <w:overflowPunct w:val="0"/>
        <w:autoSpaceDE w:val="0"/>
        <w:autoSpaceDN w:val="0"/>
        <w:adjustRightInd w:val="0"/>
        <w:spacing w:after="240" w:line="240" w:lineRule="auto"/>
        <w:textAlignment w:val="baseline"/>
      </w:pPr>
      <w:r w:rsidRPr="00454656">
        <w:t xml:space="preserve">Die bei krankheitsbedingten Abwesenheiten ohne Arztzeugnis im </w:t>
      </w:r>
      <w:proofErr w:type="spellStart"/>
      <w:r w:rsidRPr="00454656">
        <w:t>Tagesstättenbereich</w:t>
      </w:r>
      <w:proofErr w:type="spellEnd"/>
      <w:r w:rsidRPr="00454656">
        <w:t xml:space="preserve"> verrechneten Tarife sind des 4. Quartals mit zu berücksichtigen.</w:t>
      </w:r>
    </w:p>
    <w:p w:rsidR="002538C0" w:rsidRPr="00454656" w:rsidRDefault="002538C0" w:rsidP="002538C0">
      <w:pPr>
        <w:pStyle w:val="Listenabsatz"/>
        <w:numPr>
          <w:ilvl w:val="0"/>
          <w:numId w:val="31"/>
        </w:numPr>
        <w:overflowPunct w:val="0"/>
        <w:autoSpaceDE w:val="0"/>
        <w:autoSpaceDN w:val="0"/>
        <w:adjustRightInd w:val="0"/>
        <w:spacing w:after="240" w:line="240" w:lineRule="auto"/>
        <w:ind w:left="714" w:hanging="357"/>
        <w:contextualSpacing w:val="0"/>
        <w:textAlignment w:val="baseline"/>
      </w:pPr>
      <w:r w:rsidRPr="00454656">
        <w:t>Erträge aus Leistungsabgeltung innerkantonal der anrechenbaren AT/PT des 1. bis 3. Quartals (ohne Finanzierung Sozialdienst, KESB</w:t>
      </w:r>
      <w:r w:rsidR="00E76B17" w:rsidRPr="00454656">
        <w:t xml:space="preserve"> ohne IV-Rente</w:t>
      </w:r>
      <w:r w:rsidRPr="00454656">
        <w:t>, Straf- und Massnahmenvollzug).</w:t>
      </w:r>
    </w:p>
    <w:p w:rsidR="002538C0" w:rsidRPr="00454656" w:rsidRDefault="002538C0" w:rsidP="002538C0">
      <w:pPr>
        <w:pStyle w:val="Listenabsatz"/>
        <w:numPr>
          <w:ilvl w:val="0"/>
          <w:numId w:val="30"/>
        </w:numPr>
        <w:tabs>
          <w:tab w:val="left" w:pos="284"/>
          <w:tab w:val="left" w:pos="1134"/>
        </w:tabs>
        <w:overflowPunct w:val="0"/>
        <w:autoSpaceDE w:val="0"/>
        <w:autoSpaceDN w:val="0"/>
        <w:adjustRightInd w:val="0"/>
        <w:spacing w:before="1560" w:after="120" w:line="240" w:lineRule="auto"/>
        <w:ind w:left="1134" w:hanging="1134"/>
        <w:textAlignment w:val="baseline"/>
        <w:rPr>
          <w:b/>
        </w:rPr>
      </w:pPr>
      <w:r w:rsidRPr="00454656">
        <w:rPr>
          <w:b/>
        </w:rPr>
        <w:lastRenderedPageBreak/>
        <w:t>Schritt:</w:t>
      </w:r>
      <w:r w:rsidRPr="00454656">
        <w:rPr>
          <w:b/>
        </w:rPr>
        <w:tab/>
        <w:t xml:space="preserve">Berechnung der </w:t>
      </w:r>
      <w:r w:rsidR="00DD30B8">
        <w:rPr>
          <w:b/>
        </w:rPr>
        <w:t>«</w:t>
      </w:r>
      <w:r w:rsidRPr="00454656">
        <w:rPr>
          <w:b/>
        </w:rPr>
        <w:t>Schlusszahlung</w:t>
      </w:r>
      <w:r w:rsidR="00DD30B8">
        <w:rPr>
          <w:b/>
        </w:rPr>
        <w:t>»</w:t>
      </w:r>
      <w:r w:rsidRPr="00454656">
        <w:rPr>
          <w:b/>
        </w:rPr>
        <w:t xml:space="preserve"> oder </w:t>
      </w:r>
      <w:r w:rsidR="00DD30B8">
        <w:rPr>
          <w:b/>
        </w:rPr>
        <w:t>«</w:t>
      </w:r>
      <w:r w:rsidRPr="00454656">
        <w:rPr>
          <w:b/>
        </w:rPr>
        <w:t>Rückforderung</w:t>
      </w:r>
      <w:r w:rsidR="00DD30B8">
        <w:rPr>
          <w:b/>
        </w:rPr>
        <w:t>»</w:t>
      </w:r>
    </w:p>
    <w:p w:rsidR="002538C0" w:rsidRPr="00454656" w:rsidRDefault="002538C0" w:rsidP="002538C0">
      <w:pPr>
        <w:spacing w:after="120"/>
      </w:pPr>
      <w:r w:rsidRPr="00454656">
        <w:t>Die Schlusszahlung resp. Rückforderung ergibt sich aus den in Schritt 3 berechneten Betriebsbeiträgen pro Angebot abzüglich:</w:t>
      </w:r>
    </w:p>
    <w:p w:rsidR="002538C0" w:rsidRPr="00454656" w:rsidRDefault="002538C0" w:rsidP="002538C0">
      <w:pPr>
        <w:pStyle w:val="Listenabsatz"/>
        <w:numPr>
          <w:ilvl w:val="0"/>
          <w:numId w:val="31"/>
        </w:numPr>
        <w:overflowPunct w:val="0"/>
        <w:autoSpaceDE w:val="0"/>
        <w:autoSpaceDN w:val="0"/>
        <w:adjustRightInd w:val="0"/>
        <w:spacing w:after="240" w:line="240" w:lineRule="auto"/>
        <w:textAlignment w:val="baseline"/>
      </w:pPr>
      <w:r w:rsidRPr="00454656">
        <w:t>Der Summe der pro Angebot bereits ausbezahlten Betriebsbeiträge des 1. bis 3. Quartals</w:t>
      </w:r>
    </w:p>
    <w:p w:rsidR="002538C0" w:rsidRPr="00454656" w:rsidRDefault="002538C0" w:rsidP="002538C0">
      <w:pPr>
        <w:pStyle w:val="Listenabsatz"/>
        <w:numPr>
          <w:ilvl w:val="0"/>
          <w:numId w:val="31"/>
        </w:numPr>
        <w:overflowPunct w:val="0"/>
        <w:autoSpaceDE w:val="0"/>
        <w:autoSpaceDN w:val="0"/>
        <w:adjustRightInd w:val="0"/>
        <w:spacing w:after="240" w:line="240" w:lineRule="auto"/>
        <w:textAlignment w:val="baseline"/>
      </w:pPr>
      <w:r w:rsidRPr="00454656">
        <w:t>Die vom Kanton im Januar allfällig geleistete Akontozahlung</w:t>
      </w:r>
    </w:p>
    <w:p w:rsidR="002538C0" w:rsidRPr="00454656" w:rsidRDefault="002538C0" w:rsidP="002538C0">
      <w:pPr>
        <w:pStyle w:val="Listenabsatz"/>
        <w:numPr>
          <w:ilvl w:val="0"/>
          <w:numId w:val="31"/>
        </w:numPr>
        <w:overflowPunct w:val="0"/>
        <w:autoSpaceDE w:val="0"/>
        <w:autoSpaceDN w:val="0"/>
        <w:adjustRightInd w:val="0"/>
        <w:spacing w:line="240" w:lineRule="auto"/>
        <w:ind w:left="714" w:hanging="357"/>
        <w:contextualSpacing w:val="0"/>
        <w:textAlignment w:val="baseline"/>
      </w:pPr>
      <w:r w:rsidRPr="00454656">
        <w:t>Dem mit den abgerechneten Tarifen der ausserkantonalen Klienten eingenommenen Kapitalkostenanteil</w:t>
      </w:r>
    </w:p>
    <w:p w:rsidR="002538C0" w:rsidRPr="00454656" w:rsidRDefault="00BD600D" w:rsidP="00F91D0E">
      <w:pPr>
        <w:pStyle w:val="berschrift2nummeriert"/>
        <w:spacing w:before="360"/>
      </w:pPr>
      <w:r w:rsidRPr="00454656">
        <w:t>Unter-/Überdeckung</w:t>
      </w:r>
    </w:p>
    <w:p w:rsidR="008A245D" w:rsidRPr="00454656" w:rsidRDefault="008A245D" w:rsidP="008A245D">
      <w:pPr>
        <w:spacing w:after="120"/>
      </w:pPr>
      <w:r w:rsidRPr="00454656">
        <w:t xml:space="preserve">Unter- und Überdeckungen resultierend aus vom AIS subventionierten Leistungen sind als zweckgebundene Rückstellungen pro Leistungsvertrag auf einem separaten Konto in der Kontengruppe 24 (Kontenuntergruppe 270 (zweckgebundene Fonds) gemäss </w:t>
      </w:r>
      <w:proofErr w:type="spellStart"/>
      <w:r w:rsidRPr="00454656">
        <w:t>Curaviva</w:t>
      </w:r>
      <w:proofErr w:type="spellEnd"/>
      <w:r w:rsidRPr="00454656">
        <w:t xml:space="preserve"> 2021) oder in der Kontengruppe 22 (nur bei Anwendung von SWISS GAAP FER) als Schwankungsfonds zu führen. Überdeckungen sind nachweislich zum Ausgleich von bereits realisierten und zukünftigen Unterdeckungen, sowie zweckgebunden für die im Leistungsvertrag mit dem AIS vereinbarten Angebote und deren Weiterentwicklung zu verwenden. Können angehäufte Unterdeckungen nicht mehr durch Überdeckungen ausgeglichen werden, muss die Trägerschaft die Finanzierung dieser übernehmen.</w:t>
      </w:r>
    </w:p>
    <w:p w:rsidR="002538C0" w:rsidRPr="00454656" w:rsidRDefault="002538C0" w:rsidP="002538C0">
      <w:pPr>
        <w:spacing w:after="360"/>
      </w:pPr>
      <w:r w:rsidRPr="00454656">
        <w:rPr>
          <w:b/>
        </w:rPr>
        <w:t xml:space="preserve">In den Abrechnungsunterlagen befindet sich die Tabelle </w:t>
      </w:r>
      <w:r w:rsidR="00DD30B8">
        <w:rPr>
          <w:b/>
        </w:rPr>
        <w:t>«</w:t>
      </w:r>
      <w:r w:rsidRPr="00454656">
        <w:rPr>
          <w:b/>
        </w:rPr>
        <w:t>Nachweis Verwendung Schwankungsfonds</w:t>
      </w:r>
      <w:r w:rsidR="00DD30B8">
        <w:rPr>
          <w:b/>
        </w:rPr>
        <w:t>»</w:t>
      </w:r>
      <w:r w:rsidRPr="00454656">
        <w:rPr>
          <w:b/>
        </w:rPr>
        <w:t>, welche im 4. Quartal auszufüllen</w:t>
      </w:r>
      <w:r w:rsidR="00C81EFA" w:rsidRPr="00454656">
        <w:rPr>
          <w:b/>
        </w:rPr>
        <w:t xml:space="preserve"> und zu unterzeichnen</w:t>
      </w:r>
      <w:r w:rsidRPr="00454656">
        <w:rPr>
          <w:b/>
        </w:rPr>
        <w:t xml:space="preserve"> ist.</w:t>
      </w:r>
    </w:p>
    <w:p w:rsidR="002538C0" w:rsidRPr="00454656" w:rsidRDefault="002538C0" w:rsidP="008A245D">
      <w:pPr>
        <w:pStyle w:val="berschrift1nummeriert"/>
      </w:pPr>
      <w:r w:rsidRPr="00454656">
        <w:t>Institutionen im Pilot «Berner Modell» mit Infrastrukturpauschale</w:t>
      </w:r>
    </w:p>
    <w:p w:rsidR="002538C0" w:rsidRPr="00454656" w:rsidRDefault="002538C0" w:rsidP="002538C0">
      <w:r w:rsidRPr="00454656">
        <w:t xml:space="preserve">Die nachfolgende Regelung gilt für diejenigen Institutionen mit Infrastrukturpauschale (I-P) im Rahmen des </w:t>
      </w:r>
      <w:proofErr w:type="spellStart"/>
      <w:r w:rsidRPr="00454656">
        <w:t>Pilots</w:t>
      </w:r>
      <w:proofErr w:type="spellEnd"/>
      <w:r w:rsidRPr="00454656">
        <w:t xml:space="preserve"> «Berner Modell»:</w:t>
      </w:r>
    </w:p>
    <w:p w:rsidR="002538C0" w:rsidRPr="00454656" w:rsidRDefault="002538C0" w:rsidP="002538C0">
      <w:pPr>
        <w:pStyle w:val="Listenabsatz"/>
        <w:numPr>
          <w:ilvl w:val="0"/>
          <w:numId w:val="34"/>
        </w:numPr>
        <w:overflowPunct w:val="0"/>
        <w:autoSpaceDE w:val="0"/>
        <w:autoSpaceDN w:val="0"/>
        <w:adjustRightInd w:val="0"/>
        <w:spacing w:line="240" w:lineRule="auto"/>
        <w:textAlignment w:val="baseline"/>
      </w:pPr>
      <w:r w:rsidRPr="00454656">
        <w:t xml:space="preserve">Die Verwendung der finanziellen Mittel im Schwankungsfonds für die Infrastrukturfinanzierung wird beschränkt. </w:t>
      </w:r>
    </w:p>
    <w:p w:rsidR="002538C0" w:rsidRPr="00454656" w:rsidRDefault="002538C0" w:rsidP="002538C0">
      <w:pPr>
        <w:pStyle w:val="Listenabsatz"/>
        <w:numPr>
          <w:ilvl w:val="0"/>
          <w:numId w:val="34"/>
        </w:numPr>
        <w:overflowPunct w:val="0"/>
        <w:autoSpaceDE w:val="0"/>
        <w:autoSpaceDN w:val="0"/>
        <w:adjustRightInd w:val="0"/>
        <w:spacing w:line="240" w:lineRule="auto"/>
        <w:textAlignment w:val="baseline"/>
      </w:pPr>
      <w:r w:rsidRPr="00454656">
        <w:t>Es dürfen nur diejenigen Mittel aus dem Schwankungsfonds für Investitionen in die Infrastruktur verwendet werden, welche die bis zu diesem Zeitpunkt erhaltenen Infrastrukturpauschalen zum Beurteilungszeitraum betragsmässig übersteigen.</w:t>
      </w:r>
    </w:p>
    <w:p w:rsidR="002538C0" w:rsidRPr="00454656" w:rsidRDefault="002538C0" w:rsidP="002538C0">
      <w:pPr>
        <w:pStyle w:val="Listenabsatz"/>
        <w:numPr>
          <w:ilvl w:val="0"/>
          <w:numId w:val="34"/>
        </w:numPr>
        <w:overflowPunct w:val="0"/>
        <w:autoSpaceDE w:val="0"/>
        <w:autoSpaceDN w:val="0"/>
        <w:adjustRightInd w:val="0"/>
        <w:spacing w:line="240" w:lineRule="auto"/>
        <w:textAlignment w:val="baseline"/>
      </w:pPr>
      <w:r w:rsidRPr="00454656">
        <w:t>Weiter gilt, dass keine Mittel aus dem Schwankungsfonds für die Finanzierung von Infrastrukturprojekten verwendet werden dürfen, wenn die kumuliert angehäuften Infrastrukturpauschalen zum Beurteilungszeitraum höher als die Mittel im Schwankungsfonds sind.</w:t>
      </w:r>
    </w:p>
    <w:p w:rsidR="002538C0" w:rsidRPr="00454656" w:rsidRDefault="002538C0" w:rsidP="002538C0">
      <w:pPr>
        <w:pStyle w:val="Listenabsatz"/>
        <w:numPr>
          <w:ilvl w:val="0"/>
          <w:numId w:val="34"/>
        </w:numPr>
        <w:overflowPunct w:val="0"/>
        <w:autoSpaceDE w:val="0"/>
        <w:autoSpaceDN w:val="0"/>
        <w:adjustRightInd w:val="0"/>
        <w:spacing w:line="240" w:lineRule="auto"/>
        <w:textAlignment w:val="baseline"/>
      </w:pPr>
      <w:r w:rsidRPr="00454656">
        <w:t xml:space="preserve">Die Beurteilung der frei verwendbaren Mittel aus dem Schwankungsfonds erfolgt jährlich per Stichtag des Jahresabschlusses. </w:t>
      </w:r>
    </w:p>
    <w:p w:rsidR="002538C0" w:rsidRPr="00454656" w:rsidRDefault="002538C0" w:rsidP="002538C0"/>
    <w:p w:rsidR="002538C0" w:rsidRPr="00454656" w:rsidRDefault="002538C0" w:rsidP="002538C0">
      <w:pPr>
        <w:spacing w:after="240"/>
      </w:pPr>
      <w:r w:rsidRPr="00454656">
        <w:t>Diese Regelung ist notwendig, damit diejenigen Institutionen die im Pilot eine I-P erhalten, finanziell nicht bessergestellt sind, als diejenigen Institutionen ohne I-P. Eine Doppelfinanzierung von Investitionsprojekten mit Staatsbeiträgen soll so ausgeschlossen werden.</w:t>
      </w:r>
    </w:p>
    <w:p w:rsidR="002538C0" w:rsidRPr="00454656" w:rsidRDefault="002538C0" w:rsidP="00F91D0E">
      <w:pPr>
        <w:pStyle w:val="berschrift1nummeriert"/>
        <w:spacing w:before="360"/>
      </w:pPr>
      <w:r w:rsidRPr="00454656">
        <w:t>Weiteres Vorgehen zur Abrechnung</w:t>
      </w:r>
    </w:p>
    <w:p w:rsidR="002538C0" w:rsidRPr="00454656" w:rsidRDefault="002538C0" w:rsidP="002538C0">
      <w:pPr>
        <w:spacing w:after="120"/>
        <w:rPr>
          <w:rFonts w:cs="Arial"/>
        </w:rPr>
      </w:pPr>
      <w:r w:rsidRPr="00454656">
        <w:rPr>
          <w:rFonts w:cs="Arial"/>
        </w:rPr>
        <w:t>Für die q</w:t>
      </w:r>
      <w:r w:rsidR="00C81EFA" w:rsidRPr="00454656">
        <w:rPr>
          <w:rFonts w:cs="Arial"/>
        </w:rPr>
        <w:t xml:space="preserve">uartalsweise Abrechnung der </w:t>
      </w:r>
      <w:r w:rsidR="00BF2F85" w:rsidRPr="00454656">
        <w:rPr>
          <w:rFonts w:cs="Arial"/>
        </w:rPr>
        <w:t>2022</w:t>
      </w:r>
      <w:r w:rsidRPr="00454656">
        <w:rPr>
          <w:rFonts w:cs="Arial"/>
        </w:rPr>
        <w:t xml:space="preserve"> erbrachten Leistungen reicht die Institution jeweils bis 30. April, 31. Ju</w:t>
      </w:r>
      <w:r w:rsidR="00B26437" w:rsidRPr="00454656">
        <w:rPr>
          <w:rFonts w:cs="Arial"/>
        </w:rPr>
        <w:t>li, 31. Oktober und</w:t>
      </w:r>
      <w:r w:rsidRPr="00454656">
        <w:rPr>
          <w:rFonts w:cs="Arial"/>
        </w:rPr>
        <w:t xml:space="preserve"> bis spätestens 31. März die gemäss der vorliegenden Wegleitung vollständig ausgefüllten Abrechnungsunterlagen (Excel-Formulare) elektronisch ein. Die Tabelle </w:t>
      </w:r>
      <w:r w:rsidR="00DD30B8">
        <w:rPr>
          <w:rFonts w:cs="Arial"/>
        </w:rPr>
        <w:t>«S</w:t>
      </w:r>
      <w:r w:rsidRPr="00454656">
        <w:rPr>
          <w:rFonts w:cs="Arial"/>
        </w:rPr>
        <w:t>chlussabrechnung / 4. Quartal</w:t>
      </w:r>
      <w:r w:rsidR="00DD30B8">
        <w:rPr>
          <w:rFonts w:cs="Arial"/>
        </w:rPr>
        <w:t>»</w:t>
      </w:r>
      <w:r w:rsidRPr="00454656">
        <w:rPr>
          <w:rFonts w:cs="Arial"/>
        </w:rPr>
        <w:t xml:space="preserve"> ist nach der Prüfung durch das </w:t>
      </w:r>
      <w:r w:rsidR="00BF2F85" w:rsidRPr="00454656">
        <w:rPr>
          <w:rFonts w:cs="Arial"/>
        </w:rPr>
        <w:t>AIS</w:t>
      </w:r>
      <w:r w:rsidRPr="00454656">
        <w:rPr>
          <w:rFonts w:cs="Arial"/>
        </w:rPr>
        <w:t xml:space="preserve"> von der Institutionsleitung rechtsgültig zu unterzeichnen. Mit ihrer Unterschrift bestätigt die Institutionsleitung die Vollständigkeit sowie Richtigkeit der Unterlagen.</w:t>
      </w:r>
    </w:p>
    <w:p w:rsidR="002538C0" w:rsidRPr="00454656" w:rsidRDefault="002538C0" w:rsidP="002538C0">
      <w:pPr>
        <w:spacing w:after="240"/>
        <w:rPr>
          <w:rFonts w:cs="Arial"/>
        </w:rPr>
      </w:pPr>
      <w:r w:rsidRPr="00454656">
        <w:rPr>
          <w:rFonts w:cs="Arial"/>
        </w:rPr>
        <w:lastRenderedPageBreak/>
        <w:t>Die quarta</w:t>
      </w:r>
      <w:r w:rsidR="00911EA3" w:rsidRPr="00454656">
        <w:rPr>
          <w:rFonts w:cs="Arial"/>
        </w:rPr>
        <w:t>lsweise Abrechnung durch die GSI</w:t>
      </w:r>
      <w:r w:rsidRPr="00454656">
        <w:rPr>
          <w:rFonts w:cs="Arial"/>
        </w:rPr>
        <w:t xml:space="preserve"> erfolgt unter dem Vorbehalt der Ergebnisse von Prüfungen aufgrund der in Ziffer 1.1 des Jahresleistungsvertrags aufgeführten rechtlichen Grundlagen sowie aufgrund von Ziffer 7.</w:t>
      </w:r>
      <w:r w:rsidR="00DD30B8">
        <w:rPr>
          <w:rFonts w:cs="Arial"/>
        </w:rPr>
        <w:t>6</w:t>
      </w:r>
      <w:r w:rsidRPr="00454656">
        <w:rPr>
          <w:rFonts w:cs="Arial"/>
        </w:rPr>
        <w:t xml:space="preserve"> (</w:t>
      </w:r>
      <w:r w:rsidR="00DD30B8">
        <w:rPr>
          <w:rFonts w:cs="Arial"/>
        </w:rPr>
        <w:t>«</w:t>
      </w:r>
      <w:r w:rsidRPr="00454656">
        <w:rPr>
          <w:rFonts w:cs="Arial"/>
        </w:rPr>
        <w:t>Auskunfts- und Mitwirkungspflicht</w:t>
      </w:r>
      <w:r w:rsidR="00DD30B8">
        <w:rPr>
          <w:rFonts w:cs="Arial"/>
        </w:rPr>
        <w:t>»</w:t>
      </w:r>
      <w:r w:rsidRPr="00454656">
        <w:rPr>
          <w:rFonts w:cs="Arial"/>
        </w:rPr>
        <w:t xml:space="preserve">). Für die Prüfung der Abrechnung des 4. Quartals benötigen wir die folgenden Unterlagen (können </w:t>
      </w:r>
      <w:proofErr w:type="spellStart"/>
      <w:r w:rsidRPr="00454656">
        <w:rPr>
          <w:rFonts w:cs="Arial"/>
        </w:rPr>
        <w:t>unrevidiert</w:t>
      </w:r>
      <w:proofErr w:type="spellEnd"/>
      <w:r w:rsidRPr="00454656">
        <w:rPr>
          <w:rFonts w:cs="Arial"/>
        </w:rPr>
        <w:t xml:space="preserve"> sein), welche Sie uns ebenfalls elektronisch einreichen können:</w:t>
      </w:r>
    </w:p>
    <w:p w:rsidR="002538C0" w:rsidRPr="00454656" w:rsidRDefault="00C81EFA" w:rsidP="002538C0">
      <w:pPr>
        <w:spacing w:after="120"/>
        <w:rPr>
          <w:rFonts w:cs="Arial"/>
          <w:b/>
        </w:rPr>
      </w:pPr>
      <w:r w:rsidRPr="00454656">
        <w:rPr>
          <w:rFonts w:cs="Arial"/>
          <w:b/>
        </w:rPr>
        <w:t>Bis 31.3.</w:t>
      </w:r>
      <w:r w:rsidR="00BF2F85" w:rsidRPr="00454656">
        <w:rPr>
          <w:rFonts w:cs="Arial"/>
          <w:b/>
        </w:rPr>
        <w:t>2023</w:t>
      </w:r>
    </w:p>
    <w:p w:rsidR="002538C0" w:rsidRPr="00454656" w:rsidRDefault="002538C0" w:rsidP="002538C0">
      <w:pPr>
        <w:pStyle w:val="Listenabsatz"/>
        <w:numPr>
          <w:ilvl w:val="0"/>
          <w:numId w:val="31"/>
        </w:numPr>
        <w:overflowPunct w:val="0"/>
        <w:autoSpaceDE w:val="0"/>
        <w:autoSpaceDN w:val="0"/>
        <w:adjustRightInd w:val="0"/>
        <w:spacing w:after="240" w:line="240" w:lineRule="auto"/>
        <w:textAlignment w:val="baseline"/>
      </w:pPr>
      <w:r w:rsidRPr="00454656">
        <w:t>Abrechnungsformular (Excel-Formular)</w:t>
      </w:r>
    </w:p>
    <w:p w:rsidR="002538C0" w:rsidRPr="00454656" w:rsidRDefault="00C81EFA" w:rsidP="002538C0">
      <w:pPr>
        <w:pStyle w:val="Listenabsatz"/>
        <w:numPr>
          <w:ilvl w:val="0"/>
          <w:numId w:val="31"/>
        </w:numPr>
        <w:overflowPunct w:val="0"/>
        <w:autoSpaceDE w:val="0"/>
        <w:autoSpaceDN w:val="0"/>
        <w:adjustRightInd w:val="0"/>
        <w:spacing w:after="240" w:line="240" w:lineRule="auto"/>
        <w:textAlignment w:val="baseline"/>
      </w:pPr>
      <w:r w:rsidRPr="00454656">
        <w:t xml:space="preserve">Erfolgsrechnung </w:t>
      </w:r>
      <w:r w:rsidR="00BF2F85" w:rsidRPr="00454656">
        <w:t>2022</w:t>
      </w:r>
      <w:r w:rsidR="002538C0" w:rsidRPr="00454656">
        <w:t xml:space="preserve"> des Betriebes</w:t>
      </w:r>
    </w:p>
    <w:p w:rsidR="002538C0" w:rsidRPr="00454656" w:rsidRDefault="002538C0" w:rsidP="002538C0">
      <w:pPr>
        <w:pStyle w:val="Listenabsatz"/>
        <w:numPr>
          <w:ilvl w:val="0"/>
          <w:numId w:val="31"/>
        </w:numPr>
        <w:overflowPunct w:val="0"/>
        <w:autoSpaceDE w:val="0"/>
        <w:autoSpaceDN w:val="0"/>
        <w:adjustRightInd w:val="0"/>
        <w:spacing w:after="240" w:line="240" w:lineRule="auto"/>
        <w:textAlignment w:val="baseline"/>
      </w:pPr>
      <w:r w:rsidRPr="00454656">
        <w:t>Kostenrechnung</w:t>
      </w:r>
      <w:r w:rsidR="00C81EFA" w:rsidRPr="00454656">
        <w:t xml:space="preserve"> </w:t>
      </w:r>
      <w:r w:rsidR="00BF2F85" w:rsidRPr="00454656">
        <w:t>2022</w:t>
      </w:r>
      <w:r w:rsidR="0093075E" w:rsidRPr="00454656">
        <w:t xml:space="preserve"> gemäss CURAVIVA Version 2021</w:t>
      </w:r>
    </w:p>
    <w:p w:rsidR="002538C0" w:rsidRPr="00454656" w:rsidRDefault="002538C0" w:rsidP="002538C0">
      <w:pPr>
        <w:pStyle w:val="Listenabsatz"/>
        <w:numPr>
          <w:ilvl w:val="0"/>
          <w:numId w:val="31"/>
        </w:numPr>
        <w:overflowPunct w:val="0"/>
        <w:autoSpaceDE w:val="0"/>
        <w:autoSpaceDN w:val="0"/>
        <w:adjustRightInd w:val="0"/>
        <w:spacing w:after="240" w:line="240" w:lineRule="auto"/>
        <w:textAlignment w:val="baseline"/>
      </w:pPr>
      <w:r w:rsidRPr="00454656">
        <w:t>Aufstellung der Leistungen und Erträge aus den fakturierten Tarifen pro Bewohner/ Bewohnerin und pro Kategorie (Aufenthaltstage, Mahlzeitenrückerstattungen, Reservationstage und Spitalaufenthaltstage), wenn möglich unterteilt in anrechenbare (IV-Rentner etc.) sowie nicht anrechenbare (Sozialdienst finanziert etc.) Erträge</w:t>
      </w:r>
    </w:p>
    <w:p w:rsidR="002538C0" w:rsidRPr="00454656" w:rsidRDefault="002538C0" w:rsidP="002538C0">
      <w:pPr>
        <w:pStyle w:val="Listenabsatz"/>
        <w:numPr>
          <w:ilvl w:val="0"/>
          <w:numId w:val="31"/>
        </w:numPr>
        <w:overflowPunct w:val="0"/>
        <w:autoSpaceDE w:val="0"/>
        <w:autoSpaceDN w:val="0"/>
        <w:adjustRightInd w:val="0"/>
        <w:spacing w:after="240" w:line="240" w:lineRule="auto"/>
        <w:ind w:left="714" w:hanging="357"/>
        <w:contextualSpacing w:val="0"/>
        <w:textAlignment w:val="baseline"/>
        <w:rPr>
          <w:b/>
        </w:rPr>
      </w:pPr>
      <w:r w:rsidRPr="00454656">
        <w:t>Nachweis über die geleisteten Gehaltszahlungen für Klienten der Tagesstätte und der internen Beschäftigung, ausgewiesen pro Klient und pro Monat</w:t>
      </w:r>
    </w:p>
    <w:p w:rsidR="002538C0" w:rsidRPr="00454656" w:rsidRDefault="00C81EFA" w:rsidP="002538C0">
      <w:pPr>
        <w:spacing w:after="120"/>
        <w:rPr>
          <w:b/>
        </w:rPr>
      </w:pPr>
      <w:r w:rsidRPr="00454656">
        <w:rPr>
          <w:b/>
        </w:rPr>
        <w:t>Bis 30.6.</w:t>
      </w:r>
      <w:r w:rsidR="00BF2F85" w:rsidRPr="00454656">
        <w:rPr>
          <w:b/>
        </w:rPr>
        <w:t>2023</w:t>
      </w:r>
    </w:p>
    <w:p w:rsidR="002538C0" w:rsidRPr="00454656" w:rsidRDefault="00442E34" w:rsidP="002538C0">
      <w:pPr>
        <w:pStyle w:val="Listenabsatz"/>
        <w:numPr>
          <w:ilvl w:val="0"/>
          <w:numId w:val="33"/>
        </w:numPr>
        <w:overflowPunct w:val="0"/>
        <w:autoSpaceDE w:val="0"/>
        <w:autoSpaceDN w:val="0"/>
        <w:adjustRightInd w:val="0"/>
        <w:spacing w:after="240" w:line="240" w:lineRule="auto"/>
        <w:textAlignment w:val="baseline"/>
      </w:pPr>
      <w:r w:rsidRPr="00454656">
        <w:t>Kontoauszüge der Konti</w:t>
      </w:r>
      <w:r w:rsidR="002538C0" w:rsidRPr="00454656">
        <w:t xml:space="preserve"> Transitorischen Aktiven und Passiven resp. aktive und passive Rech</w:t>
      </w:r>
      <w:r w:rsidR="002A470B" w:rsidRPr="00454656">
        <w:t>nungsabgrenzungsposten und alle</w:t>
      </w:r>
      <w:r w:rsidR="002538C0" w:rsidRPr="00454656">
        <w:t xml:space="preserve"> Rückstellungskonto</w:t>
      </w:r>
    </w:p>
    <w:p w:rsidR="002538C0" w:rsidRPr="00454656" w:rsidRDefault="002538C0" w:rsidP="002538C0">
      <w:pPr>
        <w:pStyle w:val="Listenabsatz"/>
        <w:numPr>
          <w:ilvl w:val="0"/>
          <w:numId w:val="33"/>
        </w:numPr>
        <w:shd w:val="clear" w:color="auto" w:fill="FFFFFF" w:themeFill="background1"/>
        <w:overflowPunct w:val="0"/>
        <w:autoSpaceDE w:val="0"/>
        <w:autoSpaceDN w:val="0"/>
        <w:adjustRightInd w:val="0"/>
        <w:spacing w:after="240" w:line="240" w:lineRule="auto"/>
        <w:textAlignment w:val="baseline"/>
      </w:pPr>
      <w:r w:rsidRPr="00454656">
        <w:t>Unterzeichnetes Abrechnungsformular</w:t>
      </w:r>
    </w:p>
    <w:p w:rsidR="002538C0" w:rsidRPr="00454656" w:rsidRDefault="002538C0" w:rsidP="002538C0">
      <w:pPr>
        <w:pStyle w:val="Listenabsatz"/>
        <w:numPr>
          <w:ilvl w:val="0"/>
          <w:numId w:val="33"/>
        </w:numPr>
        <w:shd w:val="clear" w:color="auto" w:fill="FFFFFF" w:themeFill="background1"/>
        <w:overflowPunct w:val="0"/>
        <w:autoSpaceDE w:val="0"/>
        <w:autoSpaceDN w:val="0"/>
        <w:adjustRightInd w:val="0"/>
        <w:spacing w:after="240" w:line="240" w:lineRule="auto"/>
        <w:textAlignment w:val="baseline"/>
      </w:pPr>
      <w:r w:rsidRPr="00454656">
        <w:t>Unterzeichneter Nachweis über die Verwendung des Schwankungsfonds (ist Bestandteil der Abrechnungsunterlagen)</w:t>
      </w:r>
    </w:p>
    <w:p w:rsidR="00EC50BF" w:rsidRPr="00454656" w:rsidRDefault="00EC50BF" w:rsidP="002538C0">
      <w:pPr>
        <w:pStyle w:val="Listenabsatz"/>
        <w:numPr>
          <w:ilvl w:val="0"/>
          <w:numId w:val="33"/>
        </w:numPr>
        <w:shd w:val="clear" w:color="auto" w:fill="FFFFFF" w:themeFill="background1"/>
        <w:overflowPunct w:val="0"/>
        <w:autoSpaceDE w:val="0"/>
        <w:autoSpaceDN w:val="0"/>
        <w:adjustRightInd w:val="0"/>
        <w:spacing w:after="240" w:line="240" w:lineRule="auto"/>
        <w:textAlignment w:val="baseline"/>
      </w:pPr>
      <w:r w:rsidRPr="00454656">
        <w:t>Unterzeichneter Nachweis über die Verwendung der Infrastrukturpauschale inkl. Kontoauszüge</w:t>
      </w:r>
    </w:p>
    <w:p w:rsidR="002538C0" w:rsidRPr="00454656" w:rsidRDefault="002538C0" w:rsidP="002538C0">
      <w:pPr>
        <w:pStyle w:val="Listenabsatz"/>
        <w:numPr>
          <w:ilvl w:val="0"/>
          <w:numId w:val="33"/>
        </w:numPr>
        <w:overflowPunct w:val="0"/>
        <w:autoSpaceDE w:val="0"/>
        <w:autoSpaceDN w:val="0"/>
        <w:adjustRightInd w:val="0"/>
        <w:spacing w:after="240" w:line="240" w:lineRule="auto"/>
        <w:textAlignment w:val="baseline"/>
      </w:pPr>
      <w:r w:rsidRPr="00454656">
        <w:t xml:space="preserve">Saldobilanz </w:t>
      </w:r>
      <w:r w:rsidR="00BF2F85" w:rsidRPr="00454656">
        <w:t>2022</w:t>
      </w:r>
      <w:r w:rsidRPr="00454656">
        <w:t xml:space="preserve"> des Betriebes (revidiert)</w:t>
      </w:r>
    </w:p>
    <w:p w:rsidR="002538C0" w:rsidRPr="00454656" w:rsidRDefault="00C81EFA" w:rsidP="002538C0">
      <w:pPr>
        <w:pStyle w:val="Listenabsatz"/>
        <w:numPr>
          <w:ilvl w:val="0"/>
          <w:numId w:val="33"/>
        </w:numPr>
        <w:overflowPunct w:val="0"/>
        <w:autoSpaceDE w:val="0"/>
        <w:autoSpaceDN w:val="0"/>
        <w:adjustRightInd w:val="0"/>
        <w:spacing w:after="240" w:line="240" w:lineRule="auto"/>
        <w:textAlignment w:val="baseline"/>
      </w:pPr>
      <w:r w:rsidRPr="00454656">
        <w:t xml:space="preserve">Erfolgsrechnung </w:t>
      </w:r>
      <w:r w:rsidR="00BF2F85" w:rsidRPr="00454656">
        <w:t>2022</w:t>
      </w:r>
      <w:r w:rsidR="002538C0" w:rsidRPr="00454656">
        <w:t xml:space="preserve"> des Betriebes (revidiert)</w:t>
      </w:r>
    </w:p>
    <w:p w:rsidR="002538C0" w:rsidRPr="00454656" w:rsidRDefault="00C81EFA" w:rsidP="002538C0">
      <w:pPr>
        <w:pStyle w:val="Listenabsatz"/>
        <w:numPr>
          <w:ilvl w:val="0"/>
          <w:numId w:val="33"/>
        </w:numPr>
        <w:overflowPunct w:val="0"/>
        <w:autoSpaceDE w:val="0"/>
        <w:autoSpaceDN w:val="0"/>
        <w:adjustRightInd w:val="0"/>
        <w:spacing w:after="240" w:line="240" w:lineRule="auto"/>
        <w:textAlignment w:val="baseline"/>
      </w:pPr>
      <w:r w:rsidRPr="00454656">
        <w:t xml:space="preserve">Kostenrechnung </w:t>
      </w:r>
      <w:r w:rsidR="00BF2F85" w:rsidRPr="00454656">
        <w:t>2022</w:t>
      </w:r>
      <w:r w:rsidR="0093075E" w:rsidRPr="00454656">
        <w:t xml:space="preserve"> gemäss CURAVIVA Version 2021</w:t>
      </w:r>
      <w:r w:rsidR="002538C0" w:rsidRPr="00454656">
        <w:t xml:space="preserve"> (</w:t>
      </w:r>
      <w:r w:rsidR="00442E34" w:rsidRPr="00454656">
        <w:t>nach Revision</w:t>
      </w:r>
      <w:r w:rsidR="002538C0" w:rsidRPr="00454656">
        <w:t>)</w:t>
      </w:r>
    </w:p>
    <w:p w:rsidR="002538C0" w:rsidRPr="00454656" w:rsidRDefault="002538C0" w:rsidP="002538C0">
      <w:pPr>
        <w:pStyle w:val="Listenabsatz"/>
        <w:numPr>
          <w:ilvl w:val="0"/>
          <w:numId w:val="33"/>
        </w:numPr>
        <w:overflowPunct w:val="0"/>
        <w:autoSpaceDE w:val="0"/>
        <w:autoSpaceDN w:val="0"/>
        <w:adjustRightInd w:val="0"/>
        <w:spacing w:after="240" w:line="240" w:lineRule="auto"/>
        <w:textAlignment w:val="baseline"/>
      </w:pPr>
      <w:r w:rsidRPr="00454656">
        <w:t>Ber</w:t>
      </w:r>
      <w:r w:rsidR="00807C40">
        <w:t>icht der Revisions</w:t>
      </w:r>
      <w:r w:rsidRPr="00454656">
        <w:t>stelle inkl. Erläuterungsbericht und Managementletter</w:t>
      </w:r>
    </w:p>
    <w:p w:rsidR="002538C0" w:rsidRPr="00454656" w:rsidRDefault="002538C0" w:rsidP="002538C0">
      <w:pPr>
        <w:pStyle w:val="Listenabsatz"/>
        <w:numPr>
          <w:ilvl w:val="0"/>
          <w:numId w:val="33"/>
        </w:numPr>
        <w:overflowPunct w:val="0"/>
        <w:autoSpaceDE w:val="0"/>
        <w:autoSpaceDN w:val="0"/>
        <w:adjustRightInd w:val="0"/>
        <w:spacing w:after="240" w:line="240" w:lineRule="auto"/>
        <w:textAlignment w:val="baseline"/>
      </w:pPr>
      <w:r w:rsidRPr="00454656">
        <w:t>Unterzeichnete Bilanz- und Vollständigkeitserklärung</w:t>
      </w:r>
    </w:p>
    <w:p w:rsidR="002538C0" w:rsidRPr="00454656" w:rsidRDefault="002538C0" w:rsidP="002538C0">
      <w:pPr>
        <w:pStyle w:val="Listenabsatz"/>
        <w:numPr>
          <w:ilvl w:val="0"/>
          <w:numId w:val="33"/>
        </w:numPr>
        <w:overflowPunct w:val="0"/>
        <w:autoSpaceDE w:val="0"/>
        <w:autoSpaceDN w:val="0"/>
        <w:adjustRightInd w:val="0"/>
        <w:spacing w:line="240" w:lineRule="auto"/>
        <w:ind w:left="714" w:hanging="357"/>
        <w:contextualSpacing w:val="0"/>
        <w:textAlignment w:val="baseline"/>
      </w:pPr>
      <w:r w:rsidRPr="00454656">
        <w:t>Jahresbericht</w:t>
      </w:r>
    </w:p>
    <w:p w:rsidR="002538C0" w:rsidRPr="00454656" w:rsidRDefault="002538C0" w:rsidP="002538C0">
      <w:pPr>
        <w:pStyle w:val="Listenabsatz"/>
        <w:numPr>
          <w:ilvl w:val="0"/>
          <w:numId w:val="33"/>
        </w:numPr>
        <w:overflowPunct w:val="0"/>
        <w:autoSpaceDE w:val="0"/>
        <w:autoSpaceDN w:val="0"/>
        <w:adjustRightInd w:val="0"/>
        <w:spacing w:line="240" w:lineRule="auto"/>
        <w:ind w:left="714" w:hanging="357"/>
        <w:contextualSpacing w:val="0"/>
        <w:textAlignment w:val="baseline"/>
      </w:pPr>
      <w:r w:rsidRPr="00454656">
        <w:t>Selbstdeklaration zur Gewährleistung der Lohngleichheit</w:t>
      </w:r>
      <w:bookmarkStart w:id="0" w:name="_GoBack"/>
      <w:bookmarkEnd w:id="0"/>
    </w:p>
    <w:p w:rsidR="002538C0" w:rsidRPr="00454656" w:rsidRDefault="002538C0" w:rsidP="002538C0">
      <w:pPr>
        <w:pStyle w:val="Listenabsatz"/>
        <w:numPr>
          <w:ilvl w:val="0"/>
          <w:numId w:val="33"/>
        </w:numPr>
        <w:overflowPunct w:val="0"/>
        <w:autoSpaceDE w:val="0"/>
        <w:autoSpaceDN w:val="0"/>
        <w:adjustRightInd w:val="0"/>
        <w:spacing w:line="240" w:lineRule="auto"/>
        <w:ind w:left="714" w:hanging="357"/>
        <w:contextualSpacing w:val="0"/>
        <w:textAlignment w:val="baseline"/>
      </w:pPr>
      <w:r w:rsidRPr="00454656">
        <w:t>Unterzeichnete Checkliste der einzureichenden Unterlagen</w:t>
      </w:r>
    </w:p>
    <w:p w:rsidR="002538C0" w:rsidRPr="00454656" w:rsidRDefault="002538C0" w:rsidP="002538C0">
      <w:pPr>
        <w:pStyle w:val="Listenabsatz"/>
        <w:numPr>
          <w:ilvl w:val="0"/>
          <w:numId w:val="33"/>
        </w:numPr>
        <w:overflowPunct w:val="0"/>
        <w:autoSpaceDE w:val="0"/>
        <w:autoSpaceDN w:val="0"/>
        <w:adjustRightInd w:val="0"/>
        <w:spacing w:after="480" w:line="240" w:lineRule="auto"/>
        <w:ind w:left="714" w:hanging="357"/>
        <w:contextualSpacing w:val="0"/>
        <w:textAlignment w:val="baseline"/>
      </w:pPr>
      <w:r w:rsidRPr="00454656">
        <w:t>Vergütungsbericht</w:t>
      </w:r>
    </w:p>
    <w:p w:rsidR="002538C0" w:rsidRPr="00454656" w:rsidRDefault="002538C0" w:rsidP="00F91D0E">
      <w:pPr>
        <w:pStyle w:val="berschrift1nummeriert"/>
        <w:spacing w:before="360"/>
      </w:pPr>
      <w:r w:rsidRPr="00454656">
        <w:t>Kontakt- und Zustelladressen</w:t>
      </w:r>
    </w:p>
    <w:p w:rsidR="002538C0" w:rsidRPr="00454656" w:rsidRDefault="002538C0" w:rsidP="002538C0">
      <w:r w:rsidRPr="00454656">
        <w:t>Bei Fragen wenden Sie sich an den/die für finanzielle Belange Ihrer Institution zuständige/n Mitar</w:t>
      </w:r>
      <w:r w:rsidRPr="00454656">
        <w:softHyphen/>
        <w:t>beiter/in:</w:t>
      </w:r>
    </w:p>
    <w:p w:rsidR="002538C0" w:rsidRPr="00454656" w:rsidRDefault="002538C0" w:rsidP="002538C0">
      <w:pPr>
        <w:numPr>
          <w:ilvl w:val="0"/>
          <w:numId w:val="28"/>
        </w:numPr>
        <w:tabs>
          <w:tab w:val="clear" w:pos="720"/>
          <w:tab w:val="num" w:pos="426"/>
          <w:tab w:val="num" w:pos="1134"/>
        </w:tabs>
        <w:spacing w:before="120" w:line="240" w:lineRule="auto"/>
        <w:ind w:left="425" w:hanging="425"/>
      </w:pPr>
      <w:r w:rsidRPr="00454656">
        <w:t xml:space="preserve">Irène Heimann, 031 633 72 20, </w:t>
      </w:r>
      <w:hyperlink r:id="rId13" w:history="1">
        <w:r w:rsidR="003D0B62" w:rsidRPr="00454656">
          <w:rPr>
            <w:rStyle w:val="Hyperlink"/>
          </w:rPr>
          <w:t>irene.heimann@be.ch</w:t>
        </w:r>
      </w:hyperlink>
    </w:p>
    <w:p w:rsidR="002538C0" w:rsidRPr="00454656" w:rsidRDefault="002538C0" w:rsidP="002538C0">
      <w:pPr>
        <w:numPr>
          <w:ilvl w:val="0"/>
          <w:numId w:val="28"/>
        </w:numPr>
        <w:tabs>
          <w:tab w:val="clear" w:pos="720"/>
          <w:tab w:val="num" w:pos="426"/>
          <w:tab w:val="num" w:pos="1134"/>
        </w:tabs>
        <w:spacing w:line="240" w:lineRule="auto"/>
        <w:ind w:left="425" w:hanging="425"/>
        <w:rPr>
          <w:lang w:val="fr-CH"/>
        </w:rPr>
      </w:pPr>
      <w:r w:rsidRPr="00454656">
        <w:rPr>
          <w:lang w:val="fr-CH"/>
        </w:rPr>
        <w:t xml:space="preserve">Patric Scheurer, 031 633 72 21, </w:t>
      </w:r>
      <w:hyperlink r:id="rId14" w:history="1">
        <w:r w:rsidR="003D0B62" w:rsidRPr="00454656">
          <w:rPr>
            <w:rStyle w:val="Hyperlink"/>
            <w:lang w:val="fr-CH"/>
          </w:rPr>
          <w:t>patric.scheurer@be.ch</w:t>
        </w:r>
      </w:hyperlink>
      <w:r w:rsidRPr="00454656">
        <w:rPr>
          <w:lang w:val="fr-CH"/>
        </w:rPr>
        <w:t xml:space="preserve"> </w:t>
      </w:r>
    </w:p>
    <w:p w:rsidR="002538C0" w:rsidRPr="00454656" w:rsidRDefault="002538C0" w:rsidP="002538C0">
      <w:pPr>
        <w:numPr>
          <w:ilvl w:val="0"/>
          <w:numId w:val="28"/>
        </w:numPr>
        <w:tabs>
          <w:tab w:val="clear" w:pos="720"/>
          <w:tab w:val="num" w:pos="426"/>
          <w:tab w:val="num" w:pos="1134"/>
        </w:tabs>
        <w:spacing w:line="240" w:lineRule="auto"/>
        <w:ind w:left="425" w:hanging="425"/>
        <w:rPr>
          <w:lang w:val="fr-CH"/>
        </w:rPr>
      </w:pPr>
      <w:r w:rsidRPr="00454656">
        <w:rPr>
          <w:lang w:val="fr-CH"/>
        </w:rPr>
        <w:t xml:space="preserve">Silvan Martinelli, 031 633 45 74, </w:t>
      </w:r>
      <w:hyperlink r:id="rId15" w:history="1">
        <w:r w:rsidR="003D0B62" w:rsidRPr="00454656">
          <w:rPr>
            <w:rStyle w:val="Hyperlink"/>
            <w:lang w:val="fr-CH"/>
          </w:rPr>
          <w:t>silvan.martinelli@be.ch</w:t>
        </w:r>
      </w:hyperlink>
      <w:r w:rsidRPr="00454656">
        <w:rPr>
          <w:lang w:val="fr-CH"/>
        </w:rPr>
        <w:t xml:space="preserve"> </w:t>
      </w:r>
    </w:p>
    <w:p w:rsidR="00E76B17" w:rsidRPr="00454656" w:rsidRDefault="00E76B17" w:rsidP="002538C0">
      <w:pPr>
        <w:numPr>
          <w:ilvl w:val="0"/>
          <w:numId w:val="28"/>
        </w:numPr>
        <w:tabs>
          <w:tab w:val="clear" w:pos="720"/>
          <w:tab w:val="num" w:pos="426"/>
          <w:tab w:val="num" w:pos="1134"/>
        </w:tabs>
        <w:spacing w:line="240" w:lineRule="auto"/>
        <w:ind w:left="425" w:hanging="425"/>
        <w:rPr>
          <w:lang w:val="fr-CH"/>
        </w:rPr>
      </w:pPr>
      <w:r w:rsidRPr="00454656">
        <w:rPr>
          <w:lang w:val="fr-CH"/>
        </w:rPr>
        <w:t xml:space="preserve">Rémy Obrist, 031 633 73 58, </w:t>
      </w:r>
      <w:hyperlink r:id="rId16" w:history="1">
        <w:r w:rsidRPr="00454656">
          <w:rPr>
            <w:rStyle w:val="Hyperlink"/>
            <w:lang w:val="fr-CH"/>
          </w:rPr>
          <w:t>remy.obrist@be.ch</w:t>
        </w:r>
      </w:hyperlink>
    </w:p>
    <w:p w:rsidR="00E76B17" w:rsidRPr="00454656" w:rsidRDefault="00E76B17" w:rsidP="00E76B17">
      <w:pPr>
        <w:tabs>
          <w:tab w:val="num" w:pos="1134"/>
        </w:tabs>
        <w:spacing w:line="240" w:lineRule="auto"/>
        <w:rPr>
          <w:lang w:val="fr-CH"/>
        </w:rPr>
      </w:pPr>
    </w:p>
    <w:p w:rsidR="002538C0" w:rsidRPr="00454656" w:rsidRDefault="002538C0" w:rsidP="002538C0">
      <w:pPr>
        <w:spacing w:after="120"/>
      </w:pPr>
      <w:r w:rsidRPr="00454656">
        <w:t>Postadresse für auf dem Postweg zuzustellende Dokumente:</w:t>
      </w:r>
    </w:p>
    <w:p w:rsidR="002538C0" w:rsidRPr="00454656" w:rsidRDefault="002538C0" w:rsidP="002538C0">
      <w:pPr>
        <w:rPr>
          <w:color w:val="000000"/>
        </w:rPr>
      </w:pPr>
      <w:r w:rsidRPr="00454656">
        <w:rPr>
          <w:color w:val="000000"/>
        </w:rPr>
        <w:t>Gesundheits-, Sozial- und Integrationsdirektion</w:t>
      </w:r>
    </w:p>
    <w:p w:rsidR="002538C0" w:rsidRPr="00454656" w:rsidRDefault="002538C0" w:rsidP="002538C0">
      <w:pPr>
        <w:rPr>
          <w:i/>
          <w:color w:val="000000"/>
        </w:rPr>
      </w:pPr>
      <w:r w:rsidRPr="00454656">
        <w:rPr>
          <w:i/>
          <w:color w:val="000000"/>
        </w:rPr>
        <w:t>Name der/die für finanzielle Belange Ihrer Institution zuständige/n Mitarbeiter/in</w:t>
      </w:r>
    </w:p>
    <w:p w:rsidR="002538C0" w:rsidRPr="00454656" w:rsidRDefault="00BF2F85" w:rsidP="002538C0">
      <w:pPr>
        <w:rPr>
          <w:color w:val="000000"/>
        </w:rPr>
      </w:pPr>
      <w:r w:rsidRPr="00454656">
        <w:rPr>
          <w:color w:val="000000"/>
        </w:rPr>
        <w:t>Amt für Integration und Soziales</w:t>
      </w:r>
    </w:p>
    <w:p w:rsidR="002538C0" w:rsidRPr="00454656" w:rsidRDefault="00E76B17" w:rsidP="002538C0">
      <w:pPr>
        <w:tabs>
          <w:tab w:val="left" w:pos="426"/>
        </w:tabs>
        <w:ind w:left="425" w:hanging="425"/>
        <w:rPr>
          <w:color w:val="000000"/>
        </w:rPr>
      </w:pPr>
      <w:proofErr w:type="spellStart"/>
      <w:r w:rsidRPr="00454656">
        <w:rPr>
          <w:color w:val="000000"/>
        </w:rPr>
        <w:t>Ostermundigenstrasse</w:t>
      </w:r>
      <w:proofErr w:type="spellEnd"/>
      <w:r w:rsidRPr="00454656">
        <w:rPr>
          <w:color w:val="000000"/>
        </w:rPr>
        <w:t xml:space="preserve"> 99B</w:t>
      </w:r>
    </w:p>
    <w:p w:rsidR="002538C0" w:rsidRPr="006F356A" w:rsidRDefault="00E76B17" w:rsidP="008A5CF1">
      <w:pPr>
        <w:tabs>
          <w:tab w:val="left" w:pos="426"/>
        </w:tabs>
        <w:ind w:left="425" w:hanging="425"/>
        <w:rPr>
          <w:color w:val="000000"/>
        </w:rPr>
      </w:pPr>
      <w:r w:rsidRPr="00454656">
        <w:rPr>
          <w:color w:val="000000"/>
        </w:rPr>
        <w:t>3006 Bern</w:t>
      </w:r>
      <w:r w:rsidRPr="006F356A">
        <w:rPr>
          <w:color w:val="000000"/>
        </w:rPr>
        <w:t xml:space="preserve"> </w:t>
      </w:r>
    </w:p>
    <w:sectPr w:rsidR="002538C0" w:rsidRPr="006F356A" w:rsidSect="006F356A">
      <w:headerReference w:type="even" r:id="rId17"/>
      <w:headerReference w:type="default" r:id="rId18"/>
      <w:footerReference w:type="even" r:id="rId19"/>
      <w:footerReference w:type="default" r:id="rId20"/>
      <w:headerReference w:type="first" r:id="rId21"/>
      <w:footerReference w:type="first" r:id="rId22"/>
      <w:pgSz w:w="11906" w:h="16838" w:code="9"/>
      <w:pgMar w:top="1707" w:right="567" w:bottom="851" w:left="1361" w:header="482" w:footer="454"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8C0" w:rsidRPr="006F356A" w:rsidRDefault="002538C0">
      <w:r w:rsidRPr="006F356A">
        <w:separator/>
      </w:r>
    </w:p>
  </w:endnote>
  <w:endnote w:type="continuationSeparator" w:id="0">
    <w:p w:rsidR="002538C0" w:rsidRPr="006F356A" w:rsidRDefault="002538C0">
      <w:r w:rsidRPr="006F35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6A" w:rsidRPr="006F356A" w:rsidRDefault="006F35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6F356A" w:rsidTr="00A91C91">
      <w:tc>
        <w:tcPr>
          <w:tcW w:w="7938" w:type="dxa"/>
        </w:tcPr>
        <w:p w:rsidR="00827488" w:rsidRPr="006F356A" w:rsidRDefault="00827488" w:rsidP="00827488">
          <w:pPr>
            <w:pStyle w:val="Fuzeile"/>
          </w:pPr>
          <w:r w:rsidRPr="006F356A">
            <w:fldChar w:fldCharType="begin"/>
          </w:r>
          <w:r w:rsidRPr="006F356A">
            <w:instrText xml:space="preserve"> IF </w:instrText>
          </w:r>
          <w:fldSimple w:instr=" DOCPROPERTY  CustomField.pfad  \* MERGEFORMAT ">
            <w:r w:rsidR="006F356A" w:rsidRPr="006F356A">
              <w:rPr>
                <w:b/>
                <w:bCs w:val="0"/>
              </w:rPr>
              <w:instrText>Keine Angaben</w:instrText>
            </w:r>
          </w:fldSimple>
          <w:r w:rsidRPr="006F356A">
            <w:instrText>="Nur Dateiname" "</w:instrText>
          </w:r>
          <w:r w:rsidRPr="006F356A">
            <w:rPr>
              <w:noProof/>
            </w:rPr>
            <w:fldChar w:fldCharType="begin"/>
          </w:r>
          <w:r w:rsidRPr="006F356A">
            <w:rPr>
              <w:noProof/>
            </w:rPr>
            <w:instrText xml:space="preserve"> FILENAME   \* MERGEFORMAT \&lt;OawJumpToField value=0/&gt;</w:instrText>
          </w:r>
          <w:r w:rsidRPr="006F356A">
            <w:rPr>
              <w:noProof/>
            </w:rPr>
            <w:fldChar w:fldCharType="separate"/>
          </w:r>
          <w:r w:rsidRPr="006F356A">
            <w:rPr>
              <w:noProof/>
            </w:rPr>
            <w:instrText>Templ.dot</w:instrText>
          </w:r>
          <w:r w:rsidRPr="006F356A">
            <w:rPr>
              <w:noProof/>
            </w:rPr>
            <w:fldChar w:fldCharType="end"/>
          </w:r>
          <w:r w:rsidRPr="006F356A">
            <w:instrText>" "" \* MERGEFORMAT \&lt;OawJumpToField value=0/&gt;</w:instrText>
          </w:r>
          <w:r w:rsidRPr="006F356A">
            <w:fldChar w:fldCharType="end"/>
          </w:r>
          <w:r w:rsidRPr="006F356A">
            <w:fldChar w:fldCharType="begin"/>
          </w:r>
          <w:r w:rsidRPr="006F356A">
            <w:instrText xml:space="preserve"> IF </w:instrText>
          </w:r>
          <w:fldSimple w:instr=" DOCPROPERTY  CustomField.pfad  \* MERGEFORMAT ">
            <w:r w:rsidR="006F356A" w:rsidRPr="006F356A">
              <w:rPr>
                <w:b/>
                <w:bCs w:val="0"/>
              </w:rPr>
              <w:instrText>Keine Angaben</w:instrText>
            </w:r>
          </w:fldSimple>
          <w:r w:rsidRPr="006F356A">
            <w:instrText>="Pfad und Dateiname" "</w:instrText>
          </w:r>
          <w:r w:rsidRPr="006F356A">
            <w:rPr>
              <w:noProof/>
            </w:rPr>
            <w:fldChar w:fldCharType="begin"/>
          </w:r>
          <w:r w:rsidRPr="006F356A">
            <w:rPr>
              <w:noProof/>
            </w:rPr>
            <w:instrText xml:space="preserve"> FILENAME </w:instrText>
          </w:r>
          <w:r w:rsidR="00F5408D" w:rsidRPr="006F356A">
            <w:rPr>
              <w:noProof/>
            </w:rPr>
            <w:instrText xml:space="preserve"> </w:instrText>
          </w:r>
          <w:r w:rsidR="00530364" w:rsidRPr="006F356A">
            <w:rPr>
              <w:noProof/>
            </w:rPr>
            <w:instrText>\p</w:instrText>
          </w:r>
          <w:r w:rsidR="00F5408D" w:rsidRPr="006F356A">
            <w:rPr>
              <w:noProof/>
            </w:rPr>
            <w:instrText xml:space="preserve"> </w:instrText>
          </w:r>
          <w:r w:rsidRPr="006F356A">
            <w:rPr>
              <w:noProof/>
            </w:rPr>
            <w:instrText xml:space="preserve"> \* MERGEFORMAT \&lt;OawJumpToField value=0/&gt;</w:instrText>
          </w:r>
          <w:r w:rsidRPr="006F356A">
            <w:rPr>
              <w:noProof/>
            </w:rPr>
            <w:fldChar w:fldCharType="separate"/>
          </w:r>
          <w:r w:rsidRPr="006F356A">
            <w:rPr>
              <w:noProof/>
            </w:rPr>
            <w:instrText>Templ.dot</w:instrText>
          </w:r>
          <w:r w:rsidRPr="006F356A">
            <w:rPr>
              <w:noProof/>
            </w:rPr>
            <w:fldChar w:fldCharType="end"/>
          </w:r>
          <w:r w:rsidRPr="006F356A">
            <w:instrText>" "" \* MERGEFORMAT \&lt;OawJumpToField value=0/&gt;</w:instrText>
          </w:r>
          <w:r w:rsidRPr="006F356A">
            <w:fldChar w:fldCharType="end"/>
          </w:r>
          <w:r w:rsidRPr="006F356A">
            <w:fldChar w:fldCharType="begin"/>
          </w:r>
          <w:r w:rsidRPr="006F356A">
            <w:instrText xml:space="preserve"> IF </w:instrText>
          </w:r>
          <w:fldSimple w:instr=" DOCPROPERTY  CustomField.pfad  \* MERGEFORMAT ">
            <w:r w:rsidR="006F356A" w:rsidRPr="006F356A">
              <w:rPr>
                <w:b/>
                <w:bCs w:val="0"/>
              </w:rPr>
              <w:instrText>Keine Angaben</w:instrText>
            </w:r>
          </w:fldSimple>
          <w:r w:rsidRPr="006F356A">
            <w:instrText>="Nom du document" "</w:instrText>
          </w:r>
          <w:r w:rsidRPr="006F356A">
            <w:rPr>
              <w:noProof/>
            </w:rPr>
            <w:fldChar w:fldCharType="begin"/>
          </w:r>
          <w:r w:rsidRPr="006F356A">
            <w:rPr>
              <w:noProof/>
            </w:rPr>
            <w:instrText xml:space="preserve"> FILENAME  \* MERGEFORMAT \&lt;OawJumpToField value=0/&gt;</w:instrText>
          </w:r>
          <w:r w:rsidRPr="006F356A">
            <w:rPr>
              <w:noProof/>
            </w:rPr>
            <w:fldChar w:fldCharType="separate"/>
          </w:r>
          <w:r w:rsidRPr="006F356A">
            <w:rPr>
              <w:noProof/>
            </w:rPr>
            <w:instrText>Templ.dot</w:instrText>
          </w:r>
          <w:r w:rsidRPr="006F356A">
            <w:rPr>
              <w:noProof/>
            </w:rPr>
            <w:fldChar w:fldCharType="end"/>
          </w:r>
          <w:r w:rsidRPr="006F356A">
            <w:instrText>" "" \* MERGEFORMAT \&lt;OawJumpToField value=0/&gt;</w:instrText>
          </w:r>
          <w:r w:rsidRPr="006F356A">
            <w:fldChar w:fldCharType="end"/>
          </w:r>
          <w:r w:rsidRPr="006F356A">
            <w:fldChar w:fldCharType="begin"/>
          </w:r>
          <w:r w:rsidRPr="006F356A">
            <w:instrText xml:space="preserve"> IF </w:instrText>
          </w:r>
          <w:fldSimple w:instr=" DOCPROPERTY  CustomField.pfad  \* MERGEFORMAT ">
            <w:r w:rsidR="006F356A" w:rsidRPr="006F356A">
              <w:rPr>
                <w:b/>
                <w:bCs w:val="0"/>
              </w:rPr>
              <w:instrText>Keine Angaben</w:instrText>
            </w:r>
          </w:fldSimple>
          <w:r w:rsidRPr="006F356A">
            <w:instrText>="Chemin et nom du document" "</w:instrText>
          </w:r>
          <w:r w:rsidRPr="006F356A">
            <w:rPr>
              <w:noProof/>
            </w:rPr>
            <w:fldChar w:fldCharType="begin"/>
          </w:r>
          <w:r w:rsidRPr="006F356A">
            <w:rPr>
              <w:noProof/>
            </w:rPr>
            <w:instrText xml:space="preserve"> FILENAME</w:instrText>
          </w:r>
          <w:r w:rsidR="00D36551" w:rsidRPr="006F356A">
            <w:rPr>
              <w:noProof/>
            </w:rPr>
            <w:instrText xml:space="preserve">  \p </w:instrText>
          </w:r>
          <w:r w:rsidRPr="006F356A">
            <w:rPr>
              <w:noProof/>
            </w:rPr>
            <w:instrText xml:space="preserve"> \* MERGEFORMAT \&lt;OawJumpToField value=0/&gt;</w:instrText>
          </w:r>
          <w:r w:rsidRPr="006F356A">
            <w:rPr>
              <w:noProof/>
            </w:rPr>
            <w:fldChar w:fldCharType="separate"/>
          </w:r>
          <w:r w:rsidRPr="006F356A">
            <w:rPr>
              <w:noProof/>
            </w:rPr>
            <w:instrText>Templ.dot</w:instrText>
          </w:r>
          <w:r w:rsidRPr="006F356A">
            <w:rPr>
              <w:noProof/>
            </w:rPr>
            <w:fldChar w:fldCharType="end"/>
          </w:r>
          <w:r w:rsidRPr="006F356A">
            <w:instrText>" "" \* MERGEFORMAT \&lt;OawJumpToField value=0/&gt;</w:instrText>
          </w:r>
          <w:r w:rsidRPr="006F356A">
            <w:fldChar w:fldCharType="end"/>
          </w:r>
        </w:p>
      </w:tc>
      <w:tc>
        <w:tcPr>
          <w:tcW w:w="2030" w:type="dxa"/>
        </w:tcPr>
        <w:p w:rsidR="00827488" w:rsidRPr="006F356A" w:rsidRDefault="00827488" w:rsidP="00827488">
          <w:pPr>
            <w:pStyle w:val="Fuzeile"/>
            <w:jc w:val="right"/>
          </w:pPr>
          <w:r w:rsidRPr="006F356A">
            <w:fldChar w:fldCharType="begin"/>
          </w:r>
          <w:r w:rsidRPr="006F356A">
            <w:instrText xml:space="preserve"> PAGE  \* Arabic  \* MERGEFORMAT </w:instrText>
          </w:r>
          <w:r w:rsidRPr="006F356A">
            <w:fldChar w:fldCharType="separate"/>
          </w:r>
          <w:r w:rsidR="00807C40">
            <w:rPr>
              <w:noProof/>
            </w:rPr>
            <w:t>7</w:t>
          </w:r>
          <w:r w:rsidRPr="006F356A">
            <w:fldChar w:fldCharType="end"/>
          </w:r>
          <w:r w:rsidRPr="006F356A">
            <w:t>/</w:t>
          </w:r>
          <w:r w:rsidR="00807C40">
            <w:fldChar w:fldCharType="begin"/>
          </w:r>
          <w:r w:rsidR="00807C40">
            <w:instrText xml:space="preserve"> NUMPAGES  \* Arabic  \* MERGEFORMAT </w:instrText>
          </w:r>
          <w:r w:rsidR="00807C40">
            <w:fldChar w:fldCharType="separate"/>
          </w:r>
          <w:r w:rsidR="00807C40">
            <w:rPr>
              <w:noProof/>
            </w:rPr>
            <w:t>7</w:t>
          </w:r>
          <w:r w:rsidR="00807C40">
            <w:rPr>
              <w:noProof/>
            </w:rPr>
            <w:fldChar w:fldCharType="end"/>
          </w:r>
        </w:p>
      </w:tc>
    </w:tr>
  </w:tbl>
  <w:p w:rsidR="00EC10BB" w:rsidRPr="006F356A" w:rsidRDefault="00EC10BB" w:rsidP="003E7A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6F356A" w:rsidTr="00A91C91">
      <w:tc>
        <w:tcPr>
          <w:tcW w:w="7938" w:type="dxa"/>
        </w:tcPr>
        <w:p w:rsidR="005D79DB" w:rsidRPr="006F356A" w:rsidRDefault="00EE38C9" w:rsidP="005D79DB">
          <w:pPr>
            <w:pStyle w:val="Fuzeile"/>
          </w:pPr>
          <w:r w:rsidRPr="006F356A">
            <w:fldChar w:fldCharType="begin"/>
          </w:r>
          <w:r w:rsidRPr="006F356A">
            <w:instrText xml:space="preserve"> IF </w:instrText>
          </w:r>
          <w:fldSimple w:instr=" DOCPROPERTY  CustomField.pfad  \* MERGEFORMAT ">
            <w:r w:rsidR="006F356A" w:rsidRPr="006F356A">
              <w:rPr>
                <w:b/>
                <w:bCs w:val="0"/>
              </w:rPr>
              <w:instrText>Keine Angaben</w:instrText>
            </w:r>
          </w:fldSimple>
          <w:r w:rsidRPr="006F356A">
            <w:instrText>="Nur Dateiname" "</w:instrText>
          </w:r>
          <w:r w:rsidRPr="006F356A">
            <w:rPr>
              <w:noProof/>
            </w:rPr>
            <w:fldChar w:fldCharType="begin"/>
          </w:r>
          <w:r w:rsidRPr="006F356A">
            <w:rPr>
              <w:noProof/>
            </w:rPr>
            <w:instrText xml:space="preserve"> FILENAME   \* MERGEFORMAT \&lt;OawJumpToField value=0/&gt;</w:instrText>
          </w:r>
          <w:r w:rsidRPr="006F356A">
            <w:rPr>
              <w:noProof/>
            </w:rPr>
            <w:fldChar w:fldCharType="separate"/>
          </w:r>
          <w:r w:rsidRPr="006F356A">
            <w:rPr>
              <w:noProof/>
            </w:rPr>
            <w:instrText>Templ.dot</w:instrText>
          </w:r>
          <w:r w:rsidRPr="006F356A">
            <w:rPr>
              <w:noProof/>
            </w:rPr>
            <w:fldChar w:fldCharType="end"/>
          </w:r>
          <w:r w:rsidRPr="006F356A">
            <w:instrText>" "" \* MERGEFORMAT \&lt;OawJumpToField value=0/&gt;</w:instrText>
          </w:r>
          <w:r w:rsidRPr="006F356A">
            <w:fldChar w:fldCharType="end"/>
          </w:r>
          <w:r w:rsidRPr="006F356A">
            <w:fldChar w:fldCharType="begin"/>
          </w:r>
          <w:r w:rsidRPr="006F356A">
            <w:instrText xml:space="preserve"> IF </w:instrText>
          </w:r>
          <w:fldSimple w:instr=" DOCPROPERTY  CustomField.pfad  \* MERGEFORMAT ">
            <w:r w:rsidR="006F356A" w:rsidRPr="006F356A">
              <w:rPr>
                <w:b/>
                <w:bCs w:val="0"/>
              </w:rPr>
              <w:instrText>Keine Angaben</w:instrText>
            </w:r>
          </w:fldSimple>
          <w:r w:rsidRPr="006F356A">
            <w:instrText>="Pfad und Dateiname" "</w:instrText>
          </w:r>
          <w:r w:rsidRPr="006F356A">
            <w:rPr>
              <w:noProof/>
            </w:rPr>
            <w:fldChar w:fldCharType="begin"/>
          </w:r>
          <w:r w:rsidRPr="006F356A">
            <w:rPr>
              <w:noProof/>
            </w:rPr>
            <w:instrText xml:space="preserve"> FILENAME</w:instrText>
          </w:r>
          <w:r w:rsidR="00F5408D" w:rsidRPr="006F356A">
            <w:rPr>
              <w:noProof/>
            </w:rPr>
            <w:instrText xml:space="preserve"> </w:instrText>
          </w:r>
          <w:r w:rsidRPr="006F356A">
            <w:rPr>
              <w:noProof/>
            </w:rPr>
            <w:instrText xml:space="preserve"> </w:instrText>
          </w:r>
          <w:r w:rsidR="00530364" w:rsidRPr="006F356A">
            <w:rPr>
              <w:noProof/>
            </w:rPr>
            <w:instrText>\p</w:instrText>
          </w:r>
          <w:r w:rsidRPr="006F356A">
            <w:rPr>
              <w:noProof/>
            </w:rPr>
            <w:instrText xml:space="preserve"> </w:instrText>
          </w:r>
          <w:r w:rsidR="00F5408D" w:rsidRPr="006F356A">
            <w:rPr>
              <w:noProof/>
            </w:rPr>
            <w:instrText xml:space="preserve"> </w:instrText>
          </w:r>
          <w:r w:rsidRPr="006F356A">
            <w:rPr>
              <w:noProof/>
            </w:rPr>
            <w:instrText>\* MERGEFORMAT \&lt;OawJumpToField value=0/&gt;</w:instrText>
          </w:r>
          <w:r w:rsidRPr="006F356A">
            <w:rPr>
              <w:noProof/>
            </w:rPr>
            <w:fldChar w:fldCharType="separate"/>
          </w:r>
          <w:r w:rsidRPr="006F356A">
            <w:rPr>
              <w:noProof/>
            </w:rPr>
            <w:instrText>Templ.dot</w:instrText>
          </w:r>
          <w:r w:rsidRPr="006F356A">
            <w:rPr>
              <w:noProof/>
            </w:rPr>
            <w:fldChar w:fldCharType="end"/>
          </w:r>
          <w:r w:rsidRPr="006F356A">
            <w:instrText>" "" \* MERGEFORMAT \&lt;OawJumpToField value=0/&gt;</w:instrText>
          </w:r>
          <w:r w:rsidRPr="006F356A">
            <w:fldChar w:fldCharType="end"/>
          </w:r>
          <w:r w:rsidRPr="006F356A">
            <w:fldChar w:fldCharType="begin"/>
          </w:r>
          <w:r w:rsidRPr="006F356A">
            <w:instrText xml:space="preserve"> IF </w:instrText>
          </w:r>
          <w:fldSimple w:instr=" DOCPROPERTY  CustomField.pfad  \* MERGEFORMAT ">
            <w:r w:rsidR="006F356A" w:rsidRPr="006F356A">
              <w:rPr>
                <w:b/>
                <w:bCs w:val="0"/>
              </w:rPr>
              <w:instrText>Keine Angaben</w:instrText>
            </w:r>
          </w:fldSimple>
          <w:r w:rsidRPr="006F356A">
            <w:instrText>="Nom du document" "</w:instrText>
          </w:r>
          <w:r w:rsidRPr="006F356A">
            <w:rPr>
              <w:noProof/>
            </w:rPr>
            <w:fldChar w:fldCharType="begin"/>
          </w:r>
          <w:r w:rsidRPr="006F356A">
            <w:rPr>
              <w:noProof/>
            </w:rPr>
            <w:instrText xml:space="preserve"> FILENAME  \* MERGEFORMAT \&lt;OawJumpToField value=0/&gt;</w:instrText>
          </w:r>
          <w:r w:rsidRPr="006F356A">
            <w:rPr>
              <w:noProof/>
            </w:rPr>
            <w:fldChar w:fldCharType="separate"/>
          </w:r>
          <w:r w:rsidRPr="006F356A">
            <w:rPr>
              <w:noProof/>
            </w:rPr>
            <w:instrText>Templ.dot</w:instrText>
          </w:r>
          <w:r w:rsidRPr="006F356A">
            <w:rPr>
              <w:noProof/>
            </w:rPr>
            <w:fldChar w:fldCharType="end"/>
          </w:r>
          <w:r w:rsidRPr="006F356A">
            <w:instrText>" "" \* MERGEFORMAT \&lt;OawJumpToField value=0/&gt;</w:instrText>
          </w:r>
          <w:r w:rsidRPr="006F356A">
            <w:fldChar w:fldCharType="end"/>
          </w:r>
          <w:r w:rsidRPr="006F356A">
            <w:fldChar w:fldCharType="begin"/>
          </w:r>
          <w:r w:rsidRPr="006F356A">
            <w:instrText xml:space="preserve"> IF </w:instrText>
          </w:r>
          <w:fldSimple w:instr=" DOCPROPERTY  CustomField.pfad  \* MERGEFORMAT ">
            <w:r w:rsidR="006F356A" w:rsidRPr="006F356A">
              <w:rPr>
                <w:b/>
                <w:bCs w:val="0"/>
              </w:rPr>
              <w:instrText>Keine Angaben</w:instrText>
            </w:r>
          </w:fldSimple>
          <w:r w:rsidRPr="006F356A">
            <w:instrText>="Chemin et nom du document" "</w:instrText>
          </w:r>
          <w:r w:rsidRPr="006F356A">
            <w:rPr>
              <w:noProof/>
            </w:rPr>
            <w:fldChar w:fldCharType="begin"/>
          </w:r>
          <w:r w:rsidRPr="006F356A">
            <w:rPr>
              <w:noProof/>
            </w:rPr>
            <w:instrText xml:space="preserve"> FILENAME</w:instrText>
          </w:r>
          <w:r w:rsidR="008F3E24" w:rsidRPr="006F356A">
            <w:rPr>
              <w:noProof/>
            </w:rPr>
            <w:instrText xml:space="preserve">  \p </w:instrText>
          </w:r>
          <w:r w:rsidRPr="006F356A">
            <w:rPr>
              <w:noProof/>
            </w:rPr>
            <w:instrText xml:space="preserve"> \* MERGEFORMAT \&lt;OawJumpToField value=0/&gt;</w:instrText>
          </w:r>
          <w:r w:rsidRPr="006F356A">
            <w:rPr>
              <w:noProof/>
            </w:rPr>
            <w:fldChar w:fldCharType="separate"/>
          </w:r>
          <w:r w:rsidRPr="006F356A">
            <w:rPr>
              <w:noProof/>
            </w:rPr>
            <w:instrText>Templ.dot</w:instrText>
          </w:r>
          <w:r w:rsidRPr="006F356A">
            <w:rPr>
              <w:noProof/>
            </w:rPr>
            <w:fldChar w:fldCharType="end"/>
          </w:r>
          <w:r w:rsidRPr="006F356A">
            <w:instrText>" "" \* MERGEFORMAT \&lt;OawJumpToField value=0/&gt;</w:instrText>
          </w:r>
          <w:r w:rsidRPr="006F356A">
            <w:fldChar w:fldCharType="end"/>
          </w:r>
        </w:p>
      </w:tc>
      <w:tc>
        <w:tcPr>
          <w:tcW w:w="2030" w:type="dxa"/>
        </w:tcPr>
        <w:p w:rsidR="005D79DB" w:rsidRPr="006F356A" w:rsidRDefault="005D79DB" w:rsidP="005D79DB">
          <w:pPr>
            <w:pStyle w:val="Fuzeile"/>
            <w:jc w:val="right"/>
          </w:pPr>
          <w:r w:rsidRPr="006F356A">
            <w:fldChar w:fldCharType="begin"/>
          </w:r>
          <w:r w:rsidRPr="006F356A">
            <w:instrText xml:space="preserve"> PAGE  \* Arabic  \* MERGEFORMAT </w:instrText>
          </w:r>
          <w:r w:rsidRPr="006F356A">
            <w:fldChar w:fldCharType="separate"/>
          </w:r>
          <w:r w:rsidR="00807C40">
            <w:rPr>
              <w:noProof/>
            </w:rPr>
            <w:t>1</w:t>
          </w:r>
          <w:r w:rsidRPr="006F356A">
            <w:fldChar w:fldCharType="end"/>
          </w:r>
          <w:r w:rsidRPr="006F356A">
            <w:t>/</w:t>
          </w:r>
          <w:r w:rsidR="00807C40">
            <w:fldChar w:fldCharType="begin"/>
          </w:r>
          <w:r w:rsidR="00807C40">
            <w:instrText xml:space="preserve"> NUMPAGES  \* Arabic  \* MERGEFORMAT </w:instrText>
          </w:r>
          <w:r w:rsidR="00807C40">
            <w:fldChar w:fldCharType="separate"/>
          </w:r>
          <w:r w:rsidR="00807C40">
            <w:rPr>
              <w:noProof/>
            </w:rPr>
            <w:t>7</w:t>
          </w:r>
          <w:r w:rsidR="00807C40">
            <w:rPr>
              <w:noProof/>
            </w:rPr>
            <w:fldChar w:fldCharType="end"/>
          </w:r>
        </w:p>
      </w:tc>
    </w:tr>
  </w:tbl>
  <w:p w:rsidR="000252CF" w:rsidRPr="006F356A"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8C0" w:rsidRPr="006F356A" w:rsidRDefault="002538C0">
      <w:r w:rsidRPr="006F356A">
        <w:separator/>
      </w:r>
    </w:p>
  </w:footnote>
  <w:footnote w:type="continuationSeparator" w:id="0">
    <w:p w:rsidR="002538C0" w:rsidRPr="006F356A" w:rsidRDefault="002538C0">
      <w:r w:rsidRPr="006F356A">
        <w:continuationSeparator/>
      </w:r>
    </w:p>
  </w:footnote>
  <w:footnote w:id="1">
    <w:p w:rsidR="002538C0" w:rsidRPr="006F356A" w:rsidRDefault="002538C0" w:rsidP="002538C0">
      <w:pPr>
        <w:pStyle w:val="Funotentext"/>
      </w:pPr>
      <w:r w:rsidRPr="006F356A">
        <w:rPr>
          <w:rStyle w:val="Funotenzeichen"/>
        </w:rPr>
        <w:footnoteRef/>
      </w:r>
      <w:r w:rsidRPr="006F356A">
        <w:t xml:space="preserve"> KESB ist die Kindes- und Erwachsenenschutzbehörde, welche als Ersatz für die Vormundschaftsbehörden die Arbeiten per 1.1.2013 aufgenommen hat.</w:t>
      </w:r>
    </w:p>
  </w:footnote>
  <w:footnote w:id="2">
    <w:p w:rsidR="002538C0" w:rsidRPr="006F356A" w:rsidRDefault="002538C0" w:rsidP="002538C0">
      <w:pPr>
        <w:pStyle w:val="Funotentext"/>
        <w:ind w:left="142" w:hanging="142"/>
      </w:pPr>
      <w:r w:rsidRPr="006F356A">
        <w:rPr>
          <w:rStyle w:val="Funotenzeichen"/>
        </w:rPr>
        <w:t>2</w:t>
      </w:r>
      <w:r w:rsidRPr="006F356A">
        <w:t xml:space="preserve"> In Zeiterfassungssystemen werden geleistete Arbeitsstunden dezimal dargestellt, also statt 8 Stunden und 45 Minuten 8.75 Stunden (15 Minuten = 0.25 Std.; 30 Minuten = 0.50 Std.; 45 Min. = 0.75 Std.).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6A" w:rsidRPr="006F356A" w:rsidRDefault="006F35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FF6652" w:rsidRPr="006F356A" w:rsidTr="00685499">
      <w:tc>
        <w:tcPr>
          <w:tcW w:w="5100" w:type="dxa"/>
        </w:tcPr>
        <w:p w:rsidR="00FF6652" w:rsidRPr="006F356A" w:rsidRDefault="00FF6652" w:rsidP="00FF6652">
          <w:pPr>
            <w:pStyle w:val="Kopfzeile"/>
            <w:rPr>
              <w:color w:val="FFFFFF" w:themeColor="background1"/>
            </w:rPr>
          </w:pPr>
        </w:p>
        <w:p w:rsidR="00FF6652" w:rsidRPr="006F356A" w:rsidRDefault="00FF6652" w:rsidP="00FF6652">
          <w:pPr>
            <w:pStyle w:val="Kopfzeile"/>
          </w:pPr>
        </w:p>
      </w:tc>
      <w:tc>
        <w:tcPr>
          <w:tcW w:w="4878" w:type="dxa"/>
        </w:tcPr>
        <w:p w:rsidR="00FF6652" w:rsidRPr="006F356A" w:rsidRDefault="00FF6652" w:rsidP="00FF6652">
          <w:pPr>
            <w:pStyle w:val="Kopfzeile"/>
          </w:pPr>
        </w:p>
      </w:tc>
    </w:tr>
  </w:tbl>
  <w:p w:rsidR="00C2381B" w:rsidRPr="006F356A" w:rsidRDefault="00C2381B" w:rsidP="00FF6652">
    <w:pPr>
      <w:pStyle w:val="Kopfzeile"/>
      <w:tabs>
        <w:tab w:val="left" w:pos="420"/>
      </w:tabs>
    </w:pPr>
    <w:r w:rsidRPr="006F356A">
      <w:drawing>
        <wp:anchor distT="0" distB="0" distL="114300" distR="114300" simplePos="0" relativeHeight="251662336" behindDoc="0" locked="1" layoutInCell="1" allowOverlap="1" wp14:anchorId="0791C3BE" wp14:editId="68991BFB">
          <wp:simplePos x="0" y="0"/>
          <wp:positionH relativeFrom="page">
            <wp:posOffset>852055</wp:posOffset>
          </wp:positionH>
          <wp:positionV relativeFrom="page">
            <wp:posOffset>311727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47" w:rsidRPr="006F356A" w:rsidRDefault="00C2381B">
    <w:pPr>
      <w:pStyle w:val="Kopfzeile"/>
    </w:pPr>
    <w:r w:rsidRPr="006F356A">
      <w:drawing>
        <wp:anchor distT="0" distB="0" distL="114300" distR="114300" simplePos="0" relativeHeight="251660288" behindDoc="0" locked="1" layoutInCell="1" allowOverlap="1" wp14:anchorId="77D97D0E" wp14:editId="03EB4212">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6F356A">
      <w:drawing>
        <wp:anchor distT="0" distB="0" distL="114300" distR="114300" simplePos="0" relativeHeight="251658240" behindDoc="1" locked="1" layoutInCell="1" allowOverlap="1" wp14:anchorId="11F25C4D" wp14:editId="526A52F8">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17390"/>
    <w:multiLevelType w:val="hybridMultilevel"/>
    <w:tmpl w:val="56E623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B8943D9"/>
    <w:multiLevelType w:val="hybridMultilevel"/>
    <w:tmpl w:val="3E84BF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6877450"/>
    <w:multiLevelType w:val="hybridMultilevel"/>
    <w:tmpl w:val="CA189B34"/>
    <w:lvl w:ilvl="0" w:tplc="08070001">
      <w:start w:val="1"/>
      <w:numFmt w:val="bullet"/>
      <w:lvlText w:val=""/>
      <w:lvlJc w:val="left"/>
      <w:pPr>
        <w:ind w:left="782" w:hanging="360"/>
      </w:pPr>
      <w:rPr>
        <w:rFonts w:ascii="Symbol" w:hAnsi="Symbol" w:hint="default"/>
      </w:rPr>
    </w:lvl>
    <w:lvl w:ilvl="1" w:tplc="08070003" w:tentative="1">
      <w:start w:val="1"/>
      <w:numFmt w:val="bullet"/>
      <w:lvlText w:val="o"/>
      <w:lvlJc w:val="left"/>
      <w:pPr>
        <w:ind w:left="1502" w:hanging="360"/>
      </w:pPr>
      <w:rPr>
        <w:rFonts w:ascii="Courier New" w:hAnsi="Courier New" w:cs="Courier New" w:hint="default"/>
      </w:rPr>
    </w:lvl>
    <w:lvl w:ilvl="2" w:tplc="08070005" w:tentative="1">
      <w:start w:val="1"/>
      <w:numFmt w:val="bullet"/>
      <w:lvlText w:val=""/>
      <w:lvlJc w:val="left"/>
      <w:pPr>
        <w:ind w:left="2222" w:hanging="360"/>
      </w:pPr>
      <w:rPr>
        <w:rFonts w:ascii="Wingdings" w:hAnsi="Wingdings" w:hint="default"/>
      </w:rPr>
    </w:lvl>
    <w:lvl w:ilvl="3" w:tplc="08070001" w:tentative="1">
      <w:start w:val="1"/>
      <w:numFmt w:val="bullet"/>
      <w:lvlText w:val=""/>
      <w:lvlJc w:val="left"/>
      <w:pPr>
        <w:ind w:left="2942" w:hanging="360"/>
      </w:pPr>
      <w:rPr>
        <w:rFonts w:ascii="Symbol" w:hAnsi="Symbol" w:hint="default"/>
      </w:rPr>
    </w:lvl>
    <w:lvl w:ilvl="4" w:tplc="08070003" w:tentative="1">
      <w:start w:val="1"/>
      <w:numFmt w:val="bullet"/>
      <w:lvlText w:val="o"/>
      <w:lvlJc w:val="left"/>
      <w:pPr>
        <w:ind w:left="3662" w:hanging="360"/>
      </w:pPr>
      <w:rPr>
        <w:rFonts w:ascii="Courier New" w:hAnsi="Courier New" w:cs="Courier New" w:hint="default"/>
      </w:rPr>
    </w:lvl>
    <w:lvl w:ilvl="5" w:tplc="08070005" w:tentative="1">
      <w:start w:val="1"/>
      <w:numFmt w:val="bullet"/>
      <w:lvlText w:val=""/>
      <w:lvlJc w:val="left"/>
      <w:pPr>
        <w:ind w:left="4382" w:hanging="360"/>
      </w:pPr>
      <w:rPr>
        <w:rFonts w:ascii="Wingdings" w:hAnsi="Wingdings" w:hint="default"/>
      </w:rPr>
    </w:lvl>
    <w:lvl w:ilvl="6" w:tplc="08070001" w:tentative="1">
      <w:start w:val="1"/>
      <w:numFmt w:val="bullet"/>
      <w:lvlText w:val=""/>
      <w:lvlJc w:val="left"/>
      <w:pPr>
        <w:ind w:left="5102" w:hanging="360"/>
      </w:pPr>
      <w:rPr>
        <w:rFonts w:ascii="Symbol" w:hAnsi="Symbol" w:hint="default"/>
      </w:rPr>
    </w:lvl>
    <w:lvl w:ilvl="7" w:tplc="08070003" w:tentative="1">
      <w:start w:val="1"/>
      <w:numFmt w:val="bullet"/>
      <w:lvlText w:val="o"/>
      <w:lvlJc w:val="left"/>
      <w:pPr>
        <w:ind w:left="5822" w:hanging="360"/>
      </w:pPr>
      <w:rPr>
        <w:rFonts w:ascii="Courier New" w:hAnsi="Courier New" w:cs="Courier New" w:hint="default"/>
      </w:rPr>
    </w:lvl>
    <w:lvl w:ilvl="8" w:tplc="08070005" w:tentative="1">
      <w:start w:val="1"/>
      <w:numFmt w:val="bullet"/>
      <w:lvlText w:val=""/>
      <w:lvlJc w:val="left"/>
      <w:pPr>
        <w:ind w:left="6542" w:hanging="360"/>
      </w:pPr>
      <w:rPr>
        <w:rFonts w:ascii="Wingdings" w:hAnsi="Wingdings" w:hint="default"/>
      </w:rPr>
    </w:lvl>
  </w:abstractNum>
  <w:abstractNum w:abstractNumId="13"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0412F0D"/>
    <w:multiLevelType w:val="hybridMultilevel"/>
    <w:tmpl w:val="8326CD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EA06A49C"/>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0" w15:restartNumberingAfterBreak="0">
    <w:nsid w:val="50FC0D0E"/>
    <w:multiLevelType w:val="hybridMultilevel"/>
    <w:tmpl w:val="0C0CAD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21624A5"/>
    <w:multiLevelType w:val="hybridMultilevel"/>
    <w:tmpl w:val="345298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984C72"/>
    <w:multiLevelType w:val="hybridMultilevel"/>
    <w:tmpl w:val="0A4A07B8"/>
    <w:lvl w:ilvl="0" w:tplc="246EEBD8">
      <w:start w:val="1"/>
      <w:numFmt w:val="bullet"/>
      <w:lvlText w:val=""/>
      <w:lvlJc w:val="left"/>
      <w:pPr>
        <w:tabs>
          <w:tab w:val="num" w:pos="720"/>
        </w:tabs>
        <w:ind w:left="720" w:hanging="360"/>
      </w:pPr>
      <w:rPr>
        <w:rFonts w:ascii="Symbol" w:hAnsi="Symbol" w:hint="default"/>
      </w:rPr>
    </w:lvl>
    <w:lvl w:ilvl="1" w:tplc="7618DDC8" w:tentative="1">
      <w:start w:val="1"/>
      <w:numFmt w:val="bullet"/>
      <w:lvlText w:val="o"/>
      <w:lvlJc w:val="left"/>
      <w:pPr>
        <w:tabs>
          <w:tab w:val="num" w:pos="1440"/>
        </w:tabs>
        <w:ind w:left="1440" w:hanging="360"/>
      </w:pPr>
      <w:rPr>
        <w:rFonts w:ascii="Courier New" w:hAnsi="Courier New" w:cs="Courier New" w:hint="default"/>
      </w:rPr>
    </w:lvl>
    <w:lvl w:ilvl="2" w:tplc="DC180AD6" w:tentative="1">
      <w:start w:val="1"/>
      <w:numFmt w:val="bullet"/>
      <w:lvlText w:val=""/>
      <w:lvlJc w:val="left"/>
      <w:pPr>
        <w:tabs>
          <w:tab w:val="num" w:pos="2160"/>
        </w:tabs>
        <w:ind w:left="2160" w:hanging="360"/>
      </w:pPr>
      <w:rPr>
        <w:rFonts w:ascii="Wingdings" w:hAnsi="Wingdings" w:hint="default"/>
      </w:rPr>
    </w:lvl>
    <w:lvl w:ilvl="3" w:tplc="35123EE0" w:tentative="1">
      <w:start w:val="1"/>
      <w:numFmt w:val="bullet"/>
      <w:lvlText w:val=""/>
      <w:lvlJc w:val="left"/>
      <w:pPr>
        <w:tabs>
          <w:tab w:val="num" w:pos="2880"/>
        </w:tabs>
        <w:ind w:left="2880" w:hanging="360"/>
      </w:pPr>
      <w:rPr>
        <w:rFonts w:ascii="Symbol" w:hAnsi="Symbol" w:hint="default"/>
      </w:rPr>
    </w:lvl>
    <w:lvl w:ilvl="4" w:tplc="9C34E392" w:tentative="1">
      <w:start w:val="1"/>
      <w:numFmt w:val="bullet"/>
      <w:lvlText w:val="o"/>
      <w:lvlJc w:val="left"/>
      <w:pPr>
        <w:tabs>
          <w:tab w:val="num" w:pos="3600"/>
        </w:tabs>
        <w:ind w:left="3600" w:hanging="360"/>
      </w:pPr>
      <w:rPr>
        <w:rFonts w:ascii="Courier New" w:hAnsi="Courier New" w:cs="Courier New" w:hint="default"/>
      </w:rPr>
    </w:lvl>
    <w:lvl w:ilvl="5" w:tplc="16B6A930" w:tentative="1">
      <w:start w:val="1"/>
      <w:numFmt w:val="bullet"/>
      <w:lvlText w:val=""/>
      <w:lvlJc w:val="left"/>
      <w:pPr>
        <w:tabs>
          <w:tab w:val="num" w:pos="4320"/>
        </w:tabs>
        <w:ind w:left="4320" w:hanging="360"/>
      </w:pPr>
      <w:rPr>
        <w:rFonts w:ascii="Wingdings" w:hAnsi="Wingdings" w:hint="default"/>
      </w:rPr>
    </w:lvl>
    <w:lvl w:ilvl="6" w:tplc="3A6CC0C2" w:tentative="1">
      <w:start w:val="1"/>
      <w:numFmt w:val="bullet"/>
      <w:lvlText w:val=""/>
      <w:lvlJc w:val="left"/>
      <w:pPr>
        <w:tabs>
          <w:tab w:val="num" w:pos="5040"/>
        </w:tabs>
        <w:ind w:left="5040" w:hanging="360"/>
      </w:pPr>
      <w:rPr>
        <w:rFonts w:ascii="Symbol" w:hAnsi="Symbol" w:hint="default"/>
      </w:rPr>
    </w:lvl>
    <w:lvl w:ilvl="7" w:tplc="5260C69A" w:tentative="1">
      <w:start w:val="1"/>
      <w:numFmt w:val="bullet"/>
      <w:lvlText w:val="o"/>
      <w:lvlJc w:val="left"/>
      <w:pPr>
        <w:tabs>
          <w:tab w:val="num" w:pos="5760"/>
        </w:tabs>
        <w:ind w:left="5760" w:hanging="360"/>
      </w:pPr>
      <w:rPr>
        <w:rFonts w:ascii="Courier New" w:hAnsi="Courier New" w:cs="Courier New" w:hint="default"/>
      </w:rPr>
    </w:lvl>
    <w:lvl w:ilvl="8" w:tplc="AABA2F3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EC7B20"/>
    <w:multiLevelType w:val="hybridMultilevel"/>
    <w:tmpl w:val="81F8AC68"/>
    <w:lvl w:ilvl="0" w:tplc="08070001">
      <w:start w:val="1"/>
      <w:numFmt w:val="bullet"/>
      <w:lvlText w:val=""/>
      <w:lvlJc w:val="left"/>
      <w:pPr>
        <w:ind w:left="720" w:hanging="360"/>
      </w:pPr>
      <w:rPr>
        <w:rFonts w:ascii="Symbol" w:hAnsi="Symbol" w:hint="default"/>
      </w:rPr>
    </w:lvl>
    <w:lvl w:ilvl="1" w:tplc="824E50CA">
      <w:numFmt w:val="bullet"/>
      <w:lvlText w:val="-"/>
      <w:lvlJc w:val="left"/>
      <w:pPr>
        <w:ind w:left="1935" w:hanging="855"/>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E3E1914"/>
    <w:multiLevelType w:val="hybridMultilevel"/>
    <w:tmpl w:val="861A1644"/>
    <w:lvl w:ilvl="0" w:tplc="0807000F">
      <w:start w:val="1"/>
      <w:numFmt w:val="decimal"/>
      <w:lvlText w:val="%1."/>
      <w:lvlJc w:val="left"/>
      <w:pPr>
        <w:ind w:left="720" w:hanging="360"/>
      </w:pPr>
      <w:rPr>
        <w:rFonts w:hint="default"/>
      </w:rPr>
    </w:lvl>
    <w:lvl w:ilvl="1" w:tplc="78A835FE">
      <w:start w:val="3000"/>
      <w:numFmt w:val="decimal"/>
      <w:lvlText w:val="%2"/>
      <w:lvlJc w:val="left"/>
      <w:pPr>
        <w:ind w:left="1560" w:hanging="480"/>
      </w:pPr>
      <w:rPr>
        <w:rFonts w:hint="default"/>
        <w:color w:val="000000"/>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1"/>
  </w:num>
  <w:num w:numId="13">
    <w:abstractNumId w:val="17"/>
  </w:num>
  <w:num w:numId="14">
    <w:abstractNumId w:val="32"/>
  </w:num>
  <w:num w:numId="15">
    <w:abstractNumId w:val="31"/>
  </w:num>
  <w:num w:numId="16">
    <w:abstractNumId w:val="13"/>
  </w:num>
  <w:num w:numId="17">
    <w:abstractNumId w:val="18"/>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6"/>
  </w:num>
  <w:num w:numId="21">
    <w:abstractNumId w:val="24"/>
  </w:num>
  <w:num w:numId="22">
    <w:abstractNumId w:val="22"/>
  </w:num>
  <w:num w:numId="23">
    <w:abstractNumId w:val="14"/>
  </w:num>
  <w:num w:numId="24">
    <w:abstractNumId w:val="19"/>
  </w:num>
  <w:num w:numId="25">
    <w:abstractNumId w:val="25"/>
  </w:num>
  <w:num w:numId="26">
    <w:abstractNumId w:val="15"/>
  </w:num>
  <w:num w:numId="27">
    <w:abstractNumId w:val="10"/>
  </w:num>
  <w:num w:numId="28">
    <w:abstractNumId w:val="27"/>
  </w:num>
  <w:num w:numId="29">
    <w:abstractNumId w:val="11"/>
  </w:num>
  <w:num w:numId="30">
    <w:abstractNumId w:val="30"/>
  </w:num>
  <w:num w:numId="31">
    <w:abstractNumId w:val="29"/>
  </w:num>
  <w:num w:numId="32">
    <w:abstractNumId w:val="12"/>
  </w:num>
  <w:num w:numId="33">
    <w:abstractNumId w:val="2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851"/>
  <w:consecutiveHyphenLimit w:val="3"/>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525"/>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 et de l'intégration&quot;/&gt;&lt;Field Name=&quot;CompanyFr_2&quot; Value=&quot;&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212191811121321310321301031x&quot; EntryUID=&quot;0c3f388a-2fc5-41e5-9cae-0e3559a11d56&quot;&gt;&lt;Field Name=&quot;IDName&quot; Value=&quot;Heimann-Köchli Irène, Revisorin/Controllerin&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quot;/&gt;&lt;Field Name=&quot;Mobile&quot; Value=&quot;&quot;/&gt;&lt;Field Name=&quot;EMail&quot; Value=&quot;irene.heimann@be.ch&quot;/&gt;&lt;Field Name=&quot;Initials&quot; Value=&quot;ihk&quot;/&gt;&lt;Field Name=&quot;Unit_G&quot; Value=&quot;Abteilung Finanzen und Revision&quot;/&gt;&lt;Field Name=&quot;Unit2_G&quot; Value=&quot;&quot;/&gt;&lt;Field Name=&quot;Unit_F&quot; Value=&quot;Division Finances et révision&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2122010583847234010578&quot; EntryUID=&quot;0c3f388a-2fc5-41e5-9cae-0e3559a11d56&quot;&gt;&lt;Field Name=&quot;IDName&quot; Value=&quot;Heimann-Köchli Irène, Revisorin/Controllerin&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quot;/&gt;&lt;Field Name=&quot;Mobile&quot; Value=&quot;&quot;/&gt;&lt;Field Name=&quot;EMail&quot; Value=&quot;irene.heimann@be.ch&quot;/&gt;&lt;Field Name=&quot;Initials&quot; Value=&quot;ihk&quot;/&gt;&lt;Field Name=&quot;Unit_G&quot; Value=&quot;Abteilung Finanzen und Revision&quot;/&gt;&lt;Field Name=&quot;Unit2_G&quot; Value=&quot;&quot;/&gt;&lt;Field Name=&quot;Unit_F&quot; Value=&quot;Division Finances et révision&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6040509495284662868&quot; EntryUID=&quot;0c3f388a-2fc5-41e5-9cae-0e3559a11d56&quot;&gt;&lt;Field Name=&quot;IDName&quot; Value=&quot;Heimann-Köchli Irène, Revisorin/Controllerin&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quot;/&gt;&lt;Field Name=&quot;Mobile&quot; Value=&quot;&quot;/&gt;&lt;Field Name=&quot;EMail&quot; Value=&quot;irene.heimann@be.ch&quot;/&gt;&lt;Field Name=&quot;Initials&quot; Value=&quot;ihk&quot;/&gt;&lt;Field Name=&quot;Unit_G&quot; Value=&quot;Abteilung Finanzen und Revision&quot;/&gt;&lt;Field Name=&quot;Unit2_G&quot; Value=&quot;&quot;/&gt;&lt;Field Name=&quot;Unit_F&quot; Value=&quot;Division Finances et révision&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7032314320003618694&quot; EntryUID=&quot;0c3f388a-2fc5-41e5-9cae-0e3559a11d56&quot;&gt;&lt;Field Name=&quot;IDName&quot; Value=&quot;Heimann-Köchli Irène, Revisorin/Controllerin&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quot;/&gt;&lt;Field Name=&quot;Mobile&quot; Value=&quot;&quot;/&gt;&lt;Field Name=&quot;EMail&quot; Value=&quot;irene.heimann@be.ch&quot;/&gt;&lt;Field Name=&quot;Initials&quot; Value=&quot;ihk&quot;/&gt;&lt;Field Name=&quot;Unit_G&quot; Value=&quot;Abteilung Finanzen und Revision&quot;/&gt;&lt;Field Name=&quot;Unit2_G&quot; Value=&quot;&quot;/&gt;&lt;Field Name=&quot;Unit_F&quot; Value=&quot;Division Finances et révision&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Content.Subject&amp;lt;/translate&amp;g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2538C0"/>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40CC5"/>
    <w:rsid w:val="00040FD6"/>
    <w:rsid w:val="00042314"/>
    <w:rsid w:val="00042D27"/>
    <w:rsid w:val="00043B70"/>
    <w:rsid w:val="00044A51"/>
    <w:rsid w:val="00044D14"/>
    <w:rsid w:val="00045131"/>
    <w:rsid w:val="00046F4D"/>
    <w:rsid w:val="0005055C"/>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D6408"/>
    <w:rsid w:val="000E0862"/>
    <w:rsid w:val="000E2428"/>
    <w:rsid w:val="000E4BE2"/>
    <w:rsid w:val="000E4CA2"/>
    <w:rsid w:val="000E7D64"/>
    <w:rsid w:val="000F267E"/>
    <w:rsid w:val="000F6D48"/>
    <w:rsid w:val="000F79CA"/>
    <w:rsid w:val="00100419"/>
    <w:rsid w:val="001006CE"/>
    <w:rsid w:val="0010098D"/>
    <w:rsid w:val="00104BB7"/>
    <w:rsid w:val="00105406"/>
    <w:rsid w:val="00105C27"/>
    <w:rsid w:val="00105F42"/>
    <w:rsid w:val="00106082"/>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78DF"/>
    <w:rsid w:val="00174CAD"/>
    <w:rsid w:val="00174EE0"/>
    <w:rsid w:val="00177080"/>
    <w:rsid w:val="001806B9"/>
    <w:rsid w:val="0018281A"/>
    <w:rsid w:val="00183D4D"/>
    <w:rsid w:val="00184153"/>
    <w:rsid w:val="001859D8"/>
    <w:rsid w:val="00186D97"/>
    <w:rsid w:val="00190973"/>
    <w:rsid w:val="00196F3D"/>
    <w:rsid w:val="001A0D83"/>
    <w:rsid w:val="001A1EB8"/>
    <w:rsid w:val="001A338B"/>
    <w:rsid w:val="001A5983"/>
    <w:rsid w:val="001A6C01"/>
    <w:rsid w:val="001A7FD6"/>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5040"/>
    <w:rsid w:val="001F68ED"/>
    <w:rsid w:val="002009FE"/>
    <w:rsid w:val="0020387E"/>
    <w:rsid w:val="002055FB"/>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63A3"/>
    <w:rsid w:val="00240695"/>
    <w:rsid w:val="00243529"/>
    <w:rsid w:val="00244E0D"/>
    <w:rsid w:val="002507BD"/>
    <w:rsid w:val="00252DB7"/>
    <w:rsid w:val="00253748"/>
    <w:rsid w:val="002538C0"/>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929"/>
    <w:rsid w:val="002A470B"/>
    <w:rsid w:val="002A53C0"/>
    <w:rsid w:val="002A66F2"/>
    <w:rsid w:val="002A688E"/>
    <w:rsid w:val="002B09D5"/>
    <w:rsid w:val="002B1C43"/>
    <w:rsid w:val="002B1E64"/>
    <w:rsid w:val="002B3964"/>
    <w:rsid w:val="002B7B5A"/>
    <w:rsid w:val="002C0DF8"/>
    <w:rsid w:val="002C1E49"/>
    <w:rsid w:val="002C2B4F"/>
    <w:rsid w:val="002C343A"/>
    <w:rsid w:val="002C359A"/>
    <w:rsid w:val="002C4086"/>
    <w:rsid w:val="002D3DF6"/>
    <w:rsid w:val="002E0B33"/>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D36"/>
    <w:rsid w:val="00323BC2"/>
    <w:rsid w:val="003251F6"/>
    <w:rsid w:val="0032671E"/>
    <w:rsid w:val="003271F1"/>
    <w:rsid w:val="003305EB"/>
    <w:rsid w:val="003306E0"/>
    <w:rsid w:val="00332E4D"/>
    <w:rsid w:val="00334ABA"/>
    <w:rsid w:val="00335B07"/>
    <w:rsid w:val="0033641B"/>
    <w:rsid w:val="003372F5"/>
    <w:rsid w:val="0034186D"/>
    <w:rsid w:val="003448D9"/>
    <w:rsid w:val="003449A4"/>
    <w:rsid w:val="00345339"/>
    <w:rsid w:val="00345EF6"/>
    <w:rsid w:val="00346AC7"/>
    <w:rsid w:val="00355276"/>
    <w:rsid w:val="00355935"/>
    <w:rsid w:val="00357B7E"/>
    <w:rsid w:val="00365886"/>
    <w:rsid w:val="00365931"/>
    <w:rsid w:val="00367DC7"/>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6159"/>
    <w:rsid w:val="003A06C1"/>
    <w:rsid w:val="003A0EAA"/>
    <w:rsid w:val="003A293A"/>
    <w:rsid w:val="003A36BC"/>
    <w:rsid w:val="003A5C7A"/>
    <w:rsid w:val="003A7DFB"/>
    <w:rsid w:val="003B0D37"/>
    <w:rsid w:val="003B1612"/>
    <w:rsid w:val="003B67F4"/>
    <w:rsid w:val="003B6E89"/>
    <w:rsid w:val="003C7AEF"/>
    <w:rsid w:val="003D0B62"/>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E34"/>
    <w:rsid w:val="00442F98"/>
    <w:rsid w:val="00443C6E"/>
    <w:rsid w:val="004472F7"/>
    <w:rsid w:val="004506F2"/>
    <w:rsid w:val="00450991"/>
    <w:rsid w:val="00451317"/>
    <w:rsid w:val="00453852"/>
    <w:rsid w:val="0045460B"/>
    <w:rsid w:val="00454656"/>
    <w:rsid w:val="00454CAA"/>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5C7D"/>
    <w:rsid w:val="004E0447"/>
    <w:rsid w:val="004E1981"/>
    <w:rsid w:val="004E5C37"/>
    <w:rsid w:val="004E7468"/>
    <w:rsid w:val="004F35B8"/>
    <w:rsid w:val="004F3702"/>
    <w:rsid w:val="004F42A9"/>
    <w:rsid w:val="004F4C96"/>
    <w:rsid w:val="004F5462"/>
    <w:rsid w:val="004F6689"/>
    <w:rsid w:val="004F755B"/>
    <w:rsid w:val="00501EBB"/>
    <w:rsid w:val="00504F82"/>
    <w:rsid w:val="00505833"/>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5286"/>
    <w:rsid w:val="005A01A4"/>
    <w:rsid w:val="005A07D4"/>
    <w:rsid w:val="005A0CBF"/>
    <w:rsid w:val="005B0ADF"/>
    <w:rsid w:val="005B3B24"/>
    <w:rsid w:val="005B3D70"/>
    <w:rsid w:val="005B57D7"/>
    <w:rsid w:val="005C1B96"/>
    <w:rsid w:val="005C5E32"/>
    <w:rsid w:val="005D1237"/>
    <w:rsid w:val="005D163E"/>
    <w:rsid w:val="005D4E20"/>
    <w:rsid w:val="005D79DB"/>
    <w:rsid w:val="005D7F56"/>
    <w:rsid w:val="005E110D"/>
    <w:rsid w:val="005E4E42"/>
    <w:rsid w:val="005E7427"/>
    <w:rsid w:val="005E7E3B"/>
    <w:rsid w:val="005F17C5"/>
    <w:rsid w:val="005F381B"/>
    <w:rsid w:val="005F43A0"/>
    <w:rsid w:val="005F5606"/>
    <w:rsid w:val="005F63E5"/>
    <w:rsid w:val="00605EF9"/>
    <w:rsid w:val="006062FE"/>
    <w:rsid w:val="006064CE"/>
    <w:rsid w:val="00607715"/>
    <w:rsid w:val="00611C00"/>
    <w:rsid w:val="00611F49"/>
    <w:rsid w:val="00612326"/>
    <w:rsid w:val="0061715B"/>
    <w:rsid w:val="0062010B"/>
    <w:rsid w:val="006208F5"/>
    <w:rsid w:val="006222F5"/>
    <w:rsid w:val="00630CD1"/>
    <w:rsid w:val="0063352C"/>
    <w:rsid w:val="00634439"/>
    <w:rsid w:val="00634C2C"/>
    <w:rsid w:val="00641B62"/>
    <w:rsid w:val="00641CF6"/>
    <w:rsid w:val="00643251"/>
    <w:rsid w:val="006443AF"/>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503F"/>
    <w:rsid w:val="006E559E"/>
    <w:rsid w:val="006E5642"/>
    <w:rsid w:val="006E7FA8"/>
    <w:rsid w:val="006F356A"/>
    <w:rsid w:val="006F3FE9"/>
    <w:rsid w:val="006F684B"/>
    <w:rsid w:val="00701573"/>
    <w:rsid w:val="00701B95"/>
    <w:rsid w:val="00706257"/>
    <w:rsid w:val="00706FA1"/>
    <w:rsid w:val="007115F8"/>
    <w:rsid w:val="00711610"/>
    <w:rsid w:val="00711F3C"/>
    <w:rsid w:val="00712CE8"/>
    <w:rsid w:val="00713603"/>
    <w:rsid w:val="00716023"/>
    <w:rsid w:val="0072323E"/>
    <w:rsid w:val="007237B2"/>
    <w:rsid w:val="00724281"/>
    <w:rsid w:val="00726E75"/>
    <w:rsid w:val="00730FCB"/>
    <w:rsid w:val="00743D20"/>
    <w:rsid w:val="00747CBE"/>
    <w:rsid w:val="007514B9"/>
    <w:rsid w:val="007516F5"/>
    <w:rsid w:val="00752C45"/>
    <w:rsid w:val="0076101E"/>
    <w:rsid w:val="00761036"/>
    <w:rsid w:val="007613AF"/>
    <w:rsid w:val="007613B9"/>
    <w:rsid w:val="00762783"/>
    <w:rsid w:val="007639BD"/>
    <w:rsid w:val="007640FB"/>
    <w:rsid w:val="00765219"/>
    <w:rsid w:val="00767FBD"/>
    <w:rsid w:val="007740C9"/>
    <w:rsid w:val="00776C5A"/>
    <w:rsid w:val="00782E7E"/>
    <w:rsid w:val="00784071"/>
    <w:rsid w:val="00793E66"/>
    <w:rsid w:val="007961DF"/>
    <w:rsid w:val="007A234C"/>
    <w:rsid w:val="007A3944"/>
    <w:rsid w:val="007A7B93"/>
    <w:rsid w:val="007B57B6"/>
    <w:rsid w:val="007C062E"/>
    <w:rsid w:val="007C1ED8"/>
    <w:rsid w:val="007C2009"/>
    <w:rsid w:val="007C2228"/>
    <w:rsid w:val="007C4472"/>
    <w:rsid w:val="007C6AB3"/>
    <w:rsid w:val="007C708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07C40"/>
    <w:rsid w:val="00810944"/>
    <w:rsid w:val="00814495"/>
    <w:rsid w:val="00820152"/>
    <w:rsid w:val="0082330C"/>
    <w:rsid w:val="008237F8"/>
    <w:rsid w:val="00825083"/>
    <w:rsid w:val="0082523C"/>
    <w:rsid w:val="00827488"/>
    <w:rsid w:val="0082798D"/>
    <w:rsid w:val="0083034B"/>
    <w:rsid w:val="008322C0"/>
    <w:rsid w:val="00832A31"/>
    <w:rsid w:val="00841468"/>
    <w:rsid w:val="00842209"/>
    <w:rsid w:val="00842F39"/>
    <w:rsid w:val="00844E6C"/>
    <w:rsid w:val="00846501"/>
    <w:rsid w:val="008468B7"/>
    <w:rsid w:val="00847BDD"/>
    <w:rsid w:val="0085142C"/>
    <w:rsid w:val="00852F03"/>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6692"/>
    <w:rsid w:val="00890E0D"/>
    <w:rsid w:val="008913D6"/>
    <w:rsid w:val="00896389"/>
    <w:rsid w:val="00897044"/>
    <w:rsid w:val="00897113"/>
    <w:rsid w:val="008A0B15"/>
    <w:rsid w:val="008A0EED"/>
    <w:rsid w:val="008A245D"/>
    <w:rsid w:val="008A480B"/>
    <w:rsid w:val="008A5328"/>
    <w:rsid w:val="008A5CF1"/>
    <w:rsid w:val="008A78F8"/>
    <w:rsid w:val="008B02FC"/>
    <w:rsid w:val="008B0C14"/>
    <w:rsid w:val="008B40D9"/>
    <w:rsid w:val="008B5A03"/>
    <w:rsid w:val="008B6626"/>
    <w:rsid w:val="008C15D4"/>
    <w:rsid w:val="008C1EBB"/>
    <w:rsid w:val="008C5072"/>
    <w:rsid w:val="008D0610"/>
    <w:rsid w:val="008D0704"/>
    <w:rsid w:val="008D0BF7"/>
    <w:rsid w:val="008E0D53"/>
    <w:rsid w:val="008E2E30"/>
    <w:rsid w:val="008F02E6"/>
    <w:rsid w:val="008F2695"/>
    <w:rsid w:val="008F3E24"/>
    <w:rsid w:val="008F41DC"/>
    <w:rsid w:val="008F5A38"/>
    <w:rsid w:val="00904C14"/>
    <w:rsid w:val="00904CA5"/>
    <w:rsid w:val="00905132"/>
    <w:rsid w:val="00905189"/>
    <w:rsid w:val="00905966"/>
    <w:rsid w:val="00906BE0"/>
    <w:rsid w:val="00911EA3"/>
    <w:rsid w:val="00917686"/>
    <w:rsid w:val="009227ED"/>
    <w:rsid w:val="00924872"/>
    <w:rsid w:val="00925789"/>
    <w:rsid w:val="0092600B"/>
    <w:rsid w:val="0093054A"/>
    <w:rsid w:val="0093075E"/>
    <w:rsid w:val="00935DB4"/>
    <w:rsid w:val="00936E0C"/>
    <w:rsid w:val="00940C25"/>
    <w:rsid w:val="00941DEF"/>
    <w:rsid w:val="00945CD5"/>
    <w:rsid w:val="00951B10"/>
    <w:rsid w:val="00951F20"/>
    <w:rsid w:val="00953997"/>
    <w:rsid w:val="00954E0A"/>
    <w:rsid w:val="00955258"/>
    <w:rsid w:val="00956703"/>
    <w:rsid w:val="009579B6"/>
    <w:rsid w:val="00962B04"/>
    <w:rsid w:val="009676E7"/>
    <w:rsid w:val="00967B46"/>
    <w:rsid w:val="009713F2"/>
    <w:rsid w:val="0097415F"/>
    <w:rsid w:val="0097590A"/>
    <w:rsid w:val="009876C5"/>
    <w:rsid w:val="0098793C"/>
    <w:rsid w:val="00987B66"/>
    <w:rsid w:val="009906EE"/>
    <w:rsid w:val="00990E17"/>
    <w:rsid w:val="00991A2D"/>
    <w:rsid w:val="009935D9"/>
    <w:rsid w:val="00995E20"/>
    <w:rsid w:val="00995F05"/>
    <w:rsid w:val="00996A3D"/>
    <w:rsid w:val="009A353D"/>
    <w:rsid w:val="009B0C1C"/>
    <w:rsid w:val="009B3D60"/>
    <w:rsid w:val="009C0B77"/>
    <w:rsid w:val="009C3C0C"/>
    <w:rsid w:val="009C4F42"/>
    <w:rsid w:val="009C7D17"/>
    <w:rsid w:val="009D1490"/>
    <w:rsid w:val="009D24D9"/>
    <w:rsid w:val="009D48A4"/>
    <w:rsid w:val="009E0509"/>
    <w:rsid w:val="009E0C56"/>
    <w:rsid w:val="009E0E4C"/>
    <w:rsid w:val="009E1B47"/>
    <w:rsid w:val="009E3753"/>
    <w:rsid w:val="009E3A46"/>
    <w:rsid w:val="009E67CB"/>
    <w:rsid w:val="009F2DD1"/>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72E4"/>
    <w:rsid w:val="00A42955"/>
    <w:rsid w:val="00A434D9"/>
    <w:rsid w:val="00A448EC"/>
    <w:rsid w:val="00A45CAA"/>
    <w:rsid w:val="00A53162"/>
    <w:rsid w:val="00A54BCA"/>
    <w:rsid w:val="00A575C3"/>
    <w:rsid w:val="00A57B99"/>
    <w:rsid w:val="00A605B3"/>
    <w:rsid w:val="00A63A78"/>
    <w:rsid w:val="00A64124"/>
    <w:rsid w:val="00A6503D"/>
    <w:rsid w:val="00A66278"/>
    <w:rsid w:val="00A706E0"/>
    <w:rsid w:val="00A70B67"/>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26437"/>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2AB6"/>
    <w:rsid w:val="00B74B4F"/>
    <w:rsid w:val="00B75C6C"/>
    <w:rsid w:val="00B77B2D"/>
    <w:rsid w:val="00B80714"/>
    <w:rsid w:val="00B812A3"/>
    <w:rsid w:val="00B82901"/>
    <w:rsid w:val="00B87EB3"/>
    <w:rsid w:val="00B93B7B"/>
    <w:rsid w:val="00B970CE"/>
    <w:rsid w:val="00B97982"/>
    <w:rsid w:val="00BA045D"/>
    <w:rsid w:val="00BA601A"/>
    <w:rsid w:val="00BA64D1"/>
    <w:rsid w:val="00BA7D0F"/>
    <w:rsid w:val="00BB09EF"/>
    <w:rsid w:val="00BB243D"/>
    <w:rsid w:val="00BB50FB"/>
    <w:rsid w:val="00BB5AE4"/>
    <w:rsid w:val="00BB77AC"/>
    <w:rsid w:val="00BB7AE9"/>
    <w:rsid w:val="00BC019F"/>
    <w:rsid w:val="00BC6D2E"/>
    <w:rsid w:val="00BC77C2"/>
    <w:rsid w:val="00BD0CE1"/>
    <w:rsid w:val="00BD3162"/>
    <w:rsid w:val="00BD3AEC"/>
    <w:rsid w:val="00BD3C03"/>
    <w:rsid w:val="00BD42E7"/>
    <w:rsid w:val="00BD600D"/>
    <w:rsid w:val="00BE2CCA"/>
    <w:rsid w:val="00BE424E"/>
    <w:rsid w:val="00BE425C"/>
    <w:rsid w:val="00BE4299"/>
    <w:rsid w:val="00BE51F0"/>
    <w:rsid w:val="00BE5447"/>
    <w:rsid w:val="00BE545A"/>
    <w:rsid w:val="00BE67D4"/>
    <w:rsid w:val="00BF07B9"/>
    <w:rsid w:val="00BF28FC"/>
    <w:rsid w:val="00BF2F85"/>
    <w:rsid w:val="00BF4370"/>
    <w:rsid w:val="00BF468F"/>
    <w:rsid w:val="00BF566B"/>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2E47"/>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A9"/>
    <w:rsid w:val="00C73775"/>
    <w:rsid w:val="00C766B2"/>
    <w:rsid w:val="00C76A36"/>
    <w:rsid w:val="00C76A80"/>
    <w:rsid w:val="00C776FB"/>
    <w:rsid w:val="00C77782"/>
    <w:rsid w:val="00C81EFA"/>
    <w:rsid w:val="00C8328D"/>
    <w:rsid w:val="00C83B17"/>
    <w:rsid w:val="00C83E72"/>
    <w:rsid w:val="00C84BB6"/>
    <w:rsid w:val="00C86C04"/>
    <w:rsid w:val="00C8717D"/>
    <w:rsid w:val="00C9030B"/>
    <w:rsid w:val="00C92DAE"/>
    <w:rsid w:val="00C94968"/>
    <w:rsid w:val="00C9796B"/>
    <w:rsid w:val="00CA17CA"/>
    <w:rsid w:val="00CA3E54"/>
    <w:rsid w:val="00CA41A6"/>
    <w:rsid w:val="00CA4594"/>
    <w:rsid w:val="00CA4A03"/>
    <w:rsid w:val="00CA6401"/>
    <w:rsid w:val="00CA6445"/>
    <w:rsid w:val="00CB1E1D"/>
    <w:rsid w:val="00CB30D5"/>
    <w:rsid w:val="00CB3210"/>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613B"/>
    <w:rsid w:val="00D24584"/>
    <w:rsid w:val="00D3043F"/>
    <w:rsid w:val="00D304F6"/>
    <w:rsid w:val="00D31073"/>
    <w:rsid w:val="00D31DAF"/>
    <w:rsid w:val="00D36551"/>
    <w:rsid w:val="00D42E30"/>
    <w:rsid w:val="00D4409D"/>
    <w:rsid w:val="00D53F63"/>
    <w:rsid w:val="00D540F8"/>
    <w:rsid w:val="00D55C04"/>
    <w:rsid w:val="00D55D19"/>
    <w:rsid w:val="00D56076"/>
    <w:rsid w:val="00D6207C"/>
    <w:rsid w:val="00D645C1"/>
    <w:rsid w:val="00D64B6B"/>
    <w:rsid w:val="00D64DC2"/>
    <w:rsid w:val="00D6593F"/>
    <w:rsid w:val="00D76F9F"/>
    <w:rsid w:val="00D81013"/>
    <w:rsid w:val="00D83EBC"/>
    <w:rsid w:val="00D84383"/>
    <w:rsid w:val="00DA0B56"/>
    <w:rsid w:val="00DA0B6D"/>
    <w:rsid w:val="00DA15EA"/>
    <w:rsid w:val="00DA2E79"/>
    <w:rsid w:val="00DA4779"/>
    <w:rsid w:val="00DA5457"/>
    <w:rsid w:val="00DA60EA"/>
    <w:rsid w:val="00DA6BED"/>
    <w:rsid w:val="00DB165B"/>
    <w:rsid w:val="00DB3298"/>
    <w:rsid w:val="00DB3538"/>
    <w:rsid w:val="00DB63CE"/>
    <w:rsid w:val="00DB6409"/>
    <w:rsid w:val="00DB693C"/>
    <w:rsid w:val="00DC3B6F"/>
    <w:rsid w:val="00DC63B1"/>
    <w:rsid w:val="00DD0E50"/>
    <w:rsid w:val="00DD2123"/>
    <w:rsid w:val="00DD30B8"/>
    <w:rsid w:val="00DD5C75"/>
    <w:rsid w:val="00DD683E"/>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506D3"/>
    <w:rsid w:val="00E5368A"/>
    <w:rsid w:val="00E53FC9"/>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6B17"/>
    <w:rsid w:val="00E77DEB"/>
    <w:rsid w:val="00E80496"/>
    <w:rsid w:val="00E95CE3"/>
    <w:rsid w:val="00EA0201"/>
    <w:rsid w:val="00EA0466"/>
    <w:rsid w:val="00EA05BA"/>
    <w:rsid w:val="00EA13C2"/>
    <w:rsid w:val="00EA1486"/>
    <w:rsid w:val="00EA265A"/>
    <w:rsid w:val="00EA3186"/>
    <w:rsid w:val="00EB1826"/>
    <w:rsid w:val="00EB4FB8"/>
    <w:rsid w:val="00EB7AC1"/>
    <w:rsid w:val="00EB7B09"/>
    <w:rsid w:val="00EC10BB"/>
    <w:rsid w:val="00EC1CA4"/>
    <w:rsid w:val="00EC303A"/>
    <w:rsid w:val="00EC50BF"/>
    <w:rsid w:val="00EC5EAD"/>
    <w:rsid w:val="00EC5F83"/>
    <w:rsid w:val="00EC6816"/>
    <w:rsid w:val="00ED0491"/>
    <w:rsid w:val="00ED3026"/>
    <w:rsid w:val="00EE0C73"/>
    <w:rsid w:val="00EE1B97"/>
    <w:rsid w:val="00EE2C73"/>
    <w:rsid w:val="00EE2D4B"/>
    <w:rsid w:val="00EE38C9"/>
    <w:rsid w:val="00EE3CA4"/>
    <w:rsid w:val="00EE4374"/>
    <w:rsid w:val="00EE5810"/>
    <w:rsid w:val="00EE79AC"/>
    <w:rsid w:val="00F00A94"/>
    <w:rsid w:val="00F01EF8"/>
    <w:rsid w:val="00F02750"/>
    <w:rsid w:val="00F03E9F"/>
    <w:rsid w:val="00F064FD"/>
    <w:rsid w:val="00F07FF2"/>
    <w:rsid w:val="00F10B33"/>
    <w:rsid w:val="00F11761"/>
    <w:rsid w:val="00F123C7"/>
    <w:rsid w:val="00F126AD"/>
    <w:rsid w:val="00F13F9F"/>
    <w:rsid w:val="00F141F1"/>
    <w:rsid w:val="00F20482"/>
    <w:rsid w:val="00F211CC"/>
    <w:rsid w:val="00F2276F"/>
    <w:rsid w:val="00F22F92"/>
    <w:rsid w:val="00F25EFA"/>
    <w:rsid w:val="00F26331"/>
    <w:rsid w:val="00F27692"/>
    <w:rsid w:val="00F31082"/>
    <w:rsid w:val="00F32D9E"/>
    <w:rsid w:val="00F36402"/>
    <w:rsid w:val="00F41738"/>
    <w:rsid w:val="00F45FBD"/>
    <w:rsid w:val="00F4602F"/>
    <w:rsid w:val="00F51D27"/>
    <w:rsid w:val="00F5295F"/>
    <w:rsid w:val="00F5408D"/>
    <w:rsid w:val="00F555B6"/>
    <w:rsid w:val="00F5711E"/>
    <w:rsid w:val="00F57672"/>
    <w:rsid w:val="00F62297"/>
    <w:rsid w:val="00F625DC"/>
    <w:rsid w:val="00F63439"/>
    <w:rsid w:val="00F649C2"/>
    <w:rsid w:val="00F64BCA"/>
    <w:rsid w:val="00F64E8D"/>
    <w:rsid w:val="00F65783"/>
    <w:rsid w:val="00F70431"/>
    <w:rsid w:val="00F716C1"/>
    <w:rsid w:val="00F71B32"/>
    <w:rsid w:val="00F71D64"/>
    <w:rsid w:val="00F74059"/>
    <w:rsid w:val="00F7682B"/>
    <w:rsid w:val="00F76C5F"/>
    <w:rsid w:val="00F810DA"/>
    <w:rsid w:val="00F8299B"/>
    <w:rsid w:val="00F83F7D"/>
    <w:rsid w:val="00F863A0"/>
    <w:rsid w:val="00F90E1F"/>
    <w:rsid w:val="00F91D0E"/>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7089"/>
    <w:rsid w:val="00FE72AD"/>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815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nhideWhenUsed/>
    <w:rsid w:val="00E22965"/>
    <w:pPr>
      <w:spacing w:line="162" w:lineRule="atLeast"/>
    </w:pPr>
    <w:rPr>
      <w:sz w:val="13"/>
      <w:szCs w:val="20"/>
    </w:rPr>
  </w:style>
  <w:style w:type="character" w:customStyle="1" w:styleId="FunotentextZchn">
    <w:name w:val="Fußnotentext Zchn"/>
    <w:basedOn w:val="Absatz-Standardschriftart"/>
    <w:link w:val="Funotentext"/>
    <w:rsid w:val="00E22965"/>
    <w:rPr>
      <w:spacing w:val="2"/>
      <w:sz w:val="13"/>
      <w:szCs w:val="20"/>
      <w:lang w:val="de-CH"/>
    </w:rPr>
  </w:style>
  <w:style w:type="character" w:styleId="Funotenzeichen">
    <w:name w:val="footnote reference"/>
    <w:basedOn w:val="Absatz-Standardschriftart"/>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qFormat/>
    <w:rsid w:val="003F4534"/>
    <w:pPr>
      <w:tabs>
        <w:tab w:val="left" w:pos="181"/>
      </w:tabs>
      <w:adjustRightInd w:val="0"/>
      <w:snapToGrid w:val="0"/>
      <w:spacing w:line="180" w:lineRule="auto"/>
      <w:contextualSpacing/>
    </w:pPr>
    <w:rPr>
      <w:rFonts w:ascii="Arial" w:eastAsia="Times New Roman" w:hAnsi="Arial" w:cs="Times New Roman"/>
      <w:bCs w:val="0"/>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rene.heimann@be.ch"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my.obrist@be.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silvan.martinelli@be.ch"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atric.scheurer@be.ch"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800CB04A884C61840B598D296DB6FD"/>
        <w:category>
          <w:name w:val="Allgemein"/>
          <w:gallery w:val="placeholder"/>
        </w:category>
        <w:types>
          <w:type w:val="bbPlcHdr"/>
        </w:types>
        <w:behaviors>
          <w:behavior w:val="content"/>
        </w:behaviors>
        <w:guid w:val="{1B56C6EA-1EC5-40E3-912F-05FD024B61F1}"/>
      </w:docPartPr>
      <w:docPartBody>
        <w:p w:rsidR="007B72A1" w:rsidRDefault="004C4FC6">
          <w:pPr>
            <w:pStyle w:val="BA800CB04A884C61840B598D296DB6FD"/>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C6"/>
    <w:rsid w:val="004C4FC6"/>
    <w:rsid w:val="007B72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C4FC6"/>
    <w:rPr>
      <w:vanish/>
      <w:color w:val="9CC2E5" w:themeColor="accent1" w:themeTint="99"/>
      <w:lang w:val="de-CH"/>
    </w:rPr>
  </w:style>
  <w:style w:type="paragraph" w:customStyle="1" w:styleId="BA800CB04A884C61840B598D296DB6FD">
    <w:name w:val="BA800CB04A884C61840B598D296DB6FD"/>
  </w:style>
  <w:style w:type="paragraph" w:customStyle="1" w:styleId="8D7A31C561AA436888A7CF301F806F75">
    <w:name w:val="8D7A31C561AA436888A7CF301F806F75"/>
    <w:rsid w:val="004C4FC6"/>
  </w:style>
  <w:style w:type="paragraph" w:customStyle="1" w:styleId="56E5AB3098204E10A9306C2B5FB53122">
    <w:name w:val="56E5AB3098204E10A9306C2B5FB53122"/>
    <w:rsid w:val="004C4FC6"/>
  </w:style>
  <w:style w:type="paragraph" w:customStyle="1" w:styleId="4F0FE0D6F0C1487998B319D2E05F75D3">
    <w:name w:val="4F0FE0D6F0C1487998B319D2E05F75D3"/>
    <w:rsid w:val="004C4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</officeatwork>
</file>

<file path=customXml/item2.xml><?xml version="1.0" encoding="utf-8"?>
<officeatwork xmlns="http://schemas.officeatwork.com/CustomXMLPart">
  <AddressBlock>Gesundheits-, Sozial- und Integrationsdirektion   
Amt für Integration und Soziales   
Abteilung Finanzen und Revision</AddressBlock>
</officeatwork>
</file>

<file path=customXml/item3.xml><?xml version="1.0" encoding="utf-8"?>
<officeatwork xmlns="http://schemas.officeatwork.com/Media"/>
</file>

<file path=customXml/item4.xml><?xml version="1.0" encoding="utf-8"?>
<officeatwork xmlns="http://schemas.officeatwork.com/MasterProperties">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</officeatwork>
</file>

<file path=customXml/item5.xml><?xml version="1.0" encoding="utf-8"?>
<officeatwork xmlns="http://schemas.officeatwork.com/Document">eNp7v3u/jUt+cmlual6JnU1wfk5pSWZ+nmeKnY0+MscnMS+9NDE91c7IwNTURh/OtQnLTC0HqoVScJMAxiof0g==</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266ABE55-E049-409F-9CBD-15A8924B0F65}">
  <ds:schemaRefs>
    <ds:schemaRef ds:uri="http://schemas.officeatwork.com/Media"/>
  </ds:schemaRefs>
</ds:datastoreItem>
</file>

<file path=customXml/itemProps4.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5.xml><?xml version="1.0" encoding="utf-8"?>
<ds:datastoreItem xmlns:ds="http://schemas.openxmlformats.org/officeDocument/2006/customXml" ds:itemID="{689BBD46-C29D-4655-AC43-F138195ABA56}">
  <ds:schemaRefs>
    <ds:schemaRef ds:uri="http://schemas.officeatwork.com/Document"/>
  </ds:schemaRefs>
</ds:datastoreItem>
</file>

<file path=customXml/itemProps6.xml><?xml version="1.0" encoding="utf-8"?>
<ds:datastoreItem xmlns:ds="http://schemas.openxmlformats.org/officeDocument/2006/customXml" ds:itemID="{A045C965-4F31-4352-A978-380553A9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2006</Words>
  <Characters>14773</Characters>
  <Application>Microsoft Office Word</Application>
  <DocSecurity>0</DocSecurity>
  <Lines>123</Lines>
  <Paragraphs>33</Paragraphs>
  <ScaleCrop>false</ScaleCrop>
  <HeadingPairs>
    <vt:vector size="2" baseType="variant">
      <vt:variant>
        <vt:lpstr>Titel</vt:lpstr>
      </vt:variant>
      <vt:variant>
        <vt:i4>1</vt:i4>
      </vt:variant>
    </vt:vector>
  </HeadingPairs>
  <TitlesOfParts>
    <vt:vector size="1" baseType="lpstr">
      <vt:lpstr>Wegleitung zu den Abrechnungsunterlagen 2021 für Wohnheime und Tagesstätten</vt:lpstr>
    </vt:vector>
  </TitlesOfParts>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Wegleitung zu den Abrechnungsunterlagen 2021 für Wohnheime und Tagesstätten</dc:title>
  <dc:subject/>
  <dc:creator/>
  <cp:keywords/>
  <dc:description/>
  <cp:lastModifiedBy/>
  <cp:revision>1</cp:revision>
  <dcterms:created xsi:type="dcterms:W3CDTF">2021-12-03T13:08:00Z</dcterms:created>
  <dcterms:modified xsi:type="dcterms:W3CDTF">2022-02-02T08:12:00Z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Irène Heimann-Köchli</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ies>
</file>